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617DE" w14:textId="77777777" w:rsidR="002864CF" w:rsidRDefault="00DA418A">
      <w:pPr>
        <w:pStyle w:val="TitleA"/>
        <w:rPr>
          <w:rFonts w:asciiTheme="majorBidi" w:hAnsiTheme="majorBidi" w:cstheme="majorBidi"/>
          <w:bCs/>
          <w:color w:val="000000"/>
          <w:szCs w:val="22"/>
          <w:u w:color="FFFFFF"/>
        </w:rPr>
      </w:pPr>
      <w:bookmarkStart w:id="0" w:name="_GoBack"/>
      <w:bookmarkEnd w:id="0"/>
      <w:r w:rsidRPr="00D21D8C">
        <w:rPr>
          <w:rFonts w:asciiTheme="majorBidi" w:hAnsiTheme="majorBidi" w:cstheme="majorBidi"/>
          <w:bCs/>
          <w:color w:val="000000"/>
          <w:szCs w:val="22"/>
          <w:u w:color="FFFFFF"/>
        </w:rPr>
        <w:t>SAMENVATTING VAN DE PRODUCTKENMERKEN</w:t>
      </w:r>
    </w:p>
    <w:p w14:paraId="4D71FC94" w14:textId="77777777" w:rsidR="002864CF" w:rsidRDefault="002864CF">
      <w:pPr>
        <w:pStyle w:val="TitleA"/>
        <w:rPr>
          <w:rFonts w:asciiTheme="majorBidi" w:hAnsiTheme="majorBidi" w:cstheme="majorBidi"/>
          <w:bCs/>
          <w:color w:val="000000"/>
          <w:szCs w:val="22"/>
          <w:u w:color="FFFFFF"/>
        </w:rPr>
      </w:pPr>
    </w:p>
    <w:p w14:paraId="2EB21E87" w14:textId="11B64032" w:rsidR="001A274F" w:rsidRPr="00D21D8C" w:rsidRDefault="0011019E" w:rsidP="002864CF">
      <w:pPr>
        <w:pStyle w:val="TitleA"/>
        <w:jc w:val="left"/>
        <w:rPr>
          <w:rFonts w:asciiTheme="majorBidi" w:hAnsiTheme="majorBidi" w:cstheme="majorBidi"/>
          <w:szCs w:val="22"/>
        </w:rPr>
      </w:pPr>
      <w:r w:rsidRPr="00D21D8C">
        <w:rPr>
          <w:rFonts w:asciiTheme="majorBidi" w:hAnsiTheme="majorBidi" w:cstheme="majorBidi"/>
          <w:szCs w:val="22"/>
        </w:rPr>
        <w:fldChar w:fldCharType="begin"/>
      </w:r>
      <w:r w:rsidRPr="00D21D8C">
        <w:rPr>
          <w:rFonts w:asciiTheme="majorBidi" w:hAnsiTheme="majorBidi" w:cstheme="majorBidi"/>
          <w:szCs w:val="22"/>
        </w:rPr>
        <w:instrText xml:space="preserve"> DOCVARIABLE VAULT_ND_50c97530-4268-4d82-8503-e950fac60575 \* MERGEFORMAT </w:instrText>
      </w:r>
      <w:r w:rsidRPr="00D21D8C">
        <w:rPr>
          <w:rFonts w:asciiTheme="majorBidi" w:hAnsiTheme="majorBidi" w:cstheme="majorBidi"/>
          <w:szCs w:val="22"/>
        </w:rPr>
        <w:fldChar w:fldCharType="separate"/>
      </w:r>
      <w:r w:rsidRPr="00D21D8C">
        <w:rPr>
          <w:rFonts w:asciiTheme="majorBidi" w:hAnsiTheme="majorBidi" w:cstheme="majorBidi"/>
          <w:szCs w:val="22"/>
        </w:rPr>
        <w:t xml:space="preserve"> </w:t>
      </w:r>
      <w:r w:rsidRPr="00D21D8C">
        <w:rPr>
          <w:rFonts w:asciiTheme="majorBidi" w:hAnsiTheme="majorBidi" w:cstheme="majorBidi"/>
          <w:szCs w:val="22"/>
        </w:rPr>
        <w:fldChar w:fldCharType="end"/>
      </w:r>
    </w:p>
    <w:p w14:paraId="0249F32B" w14:textId="77777777" w:rsidR="001A274F" w:rsidRPr="00D21D8C" w:rsidRDefault="00925EEB">
      <w:pPr>
        <w:spacing w:line="240" w:lineRule="auto"/>
        <w:rPr>
          <w:rFonts w:asciiTheme="majorBidi" w:hAnsiTheme="majorBidi" w:cstheme="majorBidi"/>
          <w:szCs w:val="22"/>
        </w:rPr>
      </w:pPr>
      <w:r>
        <w:rPr>
          <w:rFonts w:asciiTheme="majorBidi" w:hAnsiTheme="majorBidi" w:cstheme="majorBidi"/>
          <w:szCs w:val="22"/>
        </w:rPr>
        <w:pict w14:anchorId="67BD07EB">
          <v:shape id="_x0000_i1026" type="#_x0000_t75" alt="BT_1000x858px" style="width:14.25pt;height:14.25pt;visibility:visible;mso-wrap-style:square">
            <v:imagedata r:id="rId11" o:title="BT_1000x858px"/>
          </v:shape>
        </w:pict>
      </w:r>
      <w:r w:rsidR="00DA418A" w:rsidRPr="00D21D8C">
        <w:rPr>
          <w:rFonts w:asciiTheme="majorBidi" w:hAnsiTheme="majorBidi" w:cstheme="majorBidi"/>
          <w:color w:val="000000"/>
          <w:szCs w:val="22"/>
          <w:u w:color="FFFFFF"/>
        </w:rPr>
        <w:t>Dit geneesmiddel is onderworpen aan aanvullende monitoring. Daardoor kan snel nieuwe veiligheidsinformatie worden vastgesteld. Beroepsbeoefenaren in de gezondheidszorg wordt verzocht alle vermoedelijke bijwerkingen te melden. Zie rubriek 4.8 voor het rapporteren van bijwerkingen.</w:t>
      </w:r>
    </w:p>
    <w:p w14:paraId="6A026F17" w14:textId="77777777" w:rsidR="001A274F" w:rsidRPr="00D21D8C" w:rsidRDefault="001A274F">
      <w:pPr>
        <w:spacing w:line="240" w:lineRule="auto"/>
        <w:rPr>
          <w:rFonts w:asciiTheme="majorBidi" w:hAnsiTheme="majorBidi" w:cstheme="majorBidi"/>
          <w:szCs w:val="22"/>
        </w:rPr>
      </w:pPr>
    </w:p>
    <w:p w14:paraId="7A6CC794" w14:textId="77777777" w:rsidR="001A274F" w:rsidRPr="00D21D8C" w:rsidRDefault="001A274F">
      <w:pPr>
        <w:spacing w:line="240" w:lineRule="auto"/>
        <w:rPr>
          <w:rFonts w:asciiTheme="majorBidi" w:hAnsiTheme="majorBidi" w:cstheme="majorBidi"/>
          <w:szCs w:val="22"/>
        </w:rPr>
      </w:pPr>
    </w:p>
    <w:p w14:paraId="3A318422" w14:textId="77777777" w:rsidR="001A274F" w:rsidRPr="00D21D8C" w:rsidRDefault="00DA418A">
      <w:pPr>
        <w:spacing w:line="240" w:lineRule="auto"/>
        <w:ind w:left="567" w:hanging="567"/>
        <w:rPr>
          <w:rFonts w:asciiTheme="majorBidi" w:hAnsiTheme="majorBidi" w:cstheme="majorBidi"/>
          <w:szCs w:val="22"/>
        </w:rPr>
      </w:pPr>
      <w:r w:rsidRPr="00D21D8C">
        <w:rPr>
          <w:rFonts w:asciiTheme="majorBidi" w:hAnsiTheme="majorBidi" w:cstheme="majorBidi"/>
          <w:b/>
          <w:bCs/>
          <w:color w:val="000000"/>
          <w:szCs w:val="22"/>
          <w:u w:color="FFFFFF"/>
        </w:rPr>
        <w:t>1.</w:t>
      </w:r>
      <w:r w:rsidRPr="00D21D8C">
        <w:rPr>
          <w:rFonts w:asciiTheme="majorBidi" w:hAnsiTheme="majorBidi" w:cstheme="majorBidi"/>
          <w:b/>
          <w:bCs/>
          <w:color w:val="000000"/>
          <w:szCs w:val="22"/>
          <w:u w:color="FFFFFF"/>
        </w:rPr>
        <w:tab/>
        <w:t>NAAM VAN HET GENEESMIDDEL</w:t>
      </w:r>
    </w:p>
    <w:p w14:paraId="18A6E080" w14:textId="77777777" w:rsidR="001A274F" w:rsidRPr="00D21D8C" w:rsidRDefault="001A274F">
      <w:pPr>
        <w:spacing w:line="240" w:lineRule="auto"/>
        <w:rPr>
          <w:rFonts w:asciiTheme="majorBidi" w:hAnsiTheme="majorBidi" w:cstheme="majorBidi"/>
          <w:iCs/>
          <w:szCs w:val="22"/>
        </w:rPr>
      </w:pPr>
    </w:p>
    <w:p w14:paraId="54FF414D" w14:textId="77777777" w:rsidR="001A274F" w:rsidRPr="00D21D8C" w:rsidRDefault="00DA418A">
      <w:pPr>
        <w:spacing w:line="240" w:lineRule="auto"/>
        <w:rPr>
          <w:rFonts w:asciiTheme="majorBidi" w:hAnsiTheme="majorBidi" w:cstheme="majorBidi"/>
          <w:szCs w:val="22"/>
        </w:rPr>
      </w:pPr>
      <w:r w:rsidRPr="00D21D8C">
        <w:rPr>
          <w:rFonts w:asciiTheme="majorBidi" w:hAnsiTheme="majorBidi" w:cstheme="majorBidi"/>
          <w:color w:val="000000"/>
          <w:szCs w:val="22"/>
          <w:u w:color="FFFFFF"/>
        </w:rPr>
        <w:t>Jaypirca 50 mg filmomhulde tabletten</w:t>
      </w:r>
    </w:p>
    <w:p w14:paraId="5F7906A8" w14:textId="77777777" w:rsidR="001A274F" w:rsidRPr="00D21D8C" w:rsidRDefault="00DA418A">
      <w:pPr>
        <w:spacing w:line="240" w:lineRule="auto"/>
        <w:rPr>
          <w:rFonts w:asciiTheme="majorBidi" w:hAnsiTheme="majorBidi" w:cstheme="majorBidi"/>
          <w:szCs w:val="22"/>
        </w:rPr>
      </w:pPr>
      <w:r w:rsidRPr="00D21D8C">
        <w:rPr>
          <w:rFonts w:asciiTheme="majorBidi" w:hAnsiTheme="majorBidi" w:cstheme="majorBidi"/>
          <w:color w:val="000000"/>
          <w:szCs w:val="22"/>
          <w:u w:color="FFFFFF"/>
        </w:rPr>
        <w:t>Jaypirca 100 mg filmomhulde tabletten</w:t>
      </w:r>
    </w:p>
    <w:p w14:paraId="41013326" w14:textId="77777777" w:rsidR="001A274F" w:rsidRPr="00D21D8C" w:rsidRDefault="001A274F">
      <w:pPr>
        <w:spacing w:line="240" w:lineRule="auto"/>
        <w:rPr>
          <w:rFonts w:asciiTheme="majorBidi" w:hAnsiTheme="majorBidi" w:cstheme="majorBidi"/>
          <w:iCs/>
          <w:szCs w:val="22"/>
        </w:rPr>
      </w:pPr>
    </w:p>
    <w:p w14:paraId="661403A8" w14:textId="77777777" w:rsidR="001A274F" w:rsidRPr="00D21D8C" w:rsidRDefault="001A274F">
      <w:pPr>
        <w:spacing w:line="240" w:lineRule="auto"/>
        <w:rPr>
          <w:rFonts w:asciiTheme="majorBidi" w:hAnsiTheme="majorBidi" w:cstheme="majorBidi"/>
          <w:iCs/>
          <w:szCs w:val="22"/>
        </w:rPr>
      </w:pPr>
    </w:p>
    <w:p w14:paraId="28DD2F7B" w14:textId="77777777" w:rsidR="001A274F" w:rsidRPr="00D21D8C" w:rsidRDefault="00DA418A">
      <w:pPr>
        <w:spacing w:line="240" w:lineRule="auto"/>
        <w:ind w:left="567" w:hanging="567"/>
        <w:rPr>
          <w:rFonts w:asciiTheme="majorBidi" w:hAnsiTheme="majorBidi" w:cstheme="majorBidi"/>
          <w:szCs w:val="22"/>
        </w:rPr>
      </w:pPr>
      <w:r w:rsidRPr="00D21D8C">
        <w:rPr>
          <w:rFonts w:asciiTheme="majorBidi" w:hAnsiTheme="majorBidi" w:cstheme="majorBidi"/>
          <w:b/>
          <w:bCs/>
          <w:color w:val="000000"/>
          <w:szCs w:val="22"/>
          <w:u w:color="FFFFFF"/>
        </w:rPr>
        <w:t>2.</w:t>
      </w:r>
      <w:r w:rsidRPr="00D21D8C">
        <w:rPr>
          <w:rFonts w:asciiTheme="majorBidi" w:hAnsiTheme="majorBidi" w:cstheme="majorBidi"/>
          <w:b/>
          <w:bCs/>
          <w:color w:val="000000"/>
          <w:szCs w:val="22"/>
          <w:u w:color="FFFFFF"/>
        </w:rPr>
        <w:tab/>
        <w:t>KWALITATIEVE EN KWANTITATIEVE SAMENSTELLING</w:t>
      </w:r>
    </w:p>
    <w:p w14:paraId="4873474B" w14:textId="77777777" w:rsidR="001A274F" w:rsidRPr="00D21D8C" w:rsidRDefault="001A274F">
      <w:pPr>
        <w:spacing w:line="240" w:lineRule="auto"/>
        <w:rPr>
          <w:rFonts w:asciiTheme="majorBidi" w:hAnsiTheme="majorBidi" w:cstheme="majorBidi"/>
          <w:iCs/>
          <w:szCs w:val="22"/>
        </w:rPr>
      </w:pPr>
    </w:p>
    <w:p w14:paraId="0982D846" w14:textId="77777777" w:rsidR="001A274F" w:rsidRPr="00D21D8C" w:rsidRDefault="00DA418A">
      <w:pPr>
        <w:spacing w:line="240" w:lineRule="auto"/>
        <w:rPr>
          <w:rFonts w:asciiTheme="majorBidi" w:hAnsiTheme="majorBidi" w:cstheme="majorBidi"/>
          <w:szCs w:val="22"/>
        </w:rPr>
      </w:pPr>
      <w:r w:rsidRPr="00D21D8C">
        <w:rPr>
          <w:rFonts w:asciiTheme="majorBidi" w:hAnsiTheme="majorBidi" w:cstheme="majorBidi"/>
          <w:color w:val="000000"/>
          <w:szCs w:val="22"/>
          <w:u w:val="single" w:color="000000"/>
        </w:rPr>
        <w:t>Jaypirca 50 mg filmomhulde tabletten</w:t>
      </w:r>
    </w:p>
    <w:p w14:paraId="7BAFA89A" w14:textId="77777777" w:rsidR="001A274F" w:rsidRPr="00D21D8C" w:rsidRDefault="001A274F">
      <w:pPr>
        <w:spacing w:line="240" w:lineRule="auto"/>
        <w:rPr>
          <w:rFonts w:asciiTheme="majorBidi" w:hAnsiTheme="majorBidi" w:cstheme="majorBidi"/>
          <w:szCs w:val="22"/>
        </w:rPr>
      </w:pPr>
    </w:p>
    <w:p w14:paraId="1CE41E79" w14:textId="77777777" w:rsidR="001A274F" w:rsidRPr="00D21D8C" w:rsidRDefault="00DA418A">
      <w:pPr>
        <w:spacing w:line="240" w:lineRule="auto"/>
        <w:rPr>
          <w:rFonts w:asciiTheme="majorBidi" w:hAnsiTheme="majorBidi" w:cstheme="majorBidi"/>
          <w:szCs w:val="22"/>
        </w:rPr>
      </w:pPr>
      <w:r w:rsidRPr="00D21D8C">
        <w:rPr>
          <w:rFonts w:asciiTheme="majorBidi" w:hAnsiTheme="majorBidi" w:cstheme="majorBidi"/>
          <w:color w:val="000000"/>
          <w:szCs w:val="22"/>
          <w:u w:color="FFFFFF"/>
        </w:rPr>
        <w:t>Elke filmomhulde tablet bevat 50 mg pirtobrutinib.</w:t>
      </w:r>
    </w:p>
    <w:p w14:paraId="7671CB9D" w14:textId="77777777" w:rsidR="001A274F" w:rsidRPr="00D21D8C" w:rsidRDefault="001A274F">
      <w:pPr>
        <w:spacing w:line="240" w:lineRule="auto"/>
        <w:rPr>
          <w:rFonts w:asciiTheme="majorBidi" w:hAnsiTheme="majorBidi" w:cstheme="majorBidi"/>
          <w:szCs w:val="22"/>
        </w:rPr>
      </w:pPr>
    </w:p>
    <w:p w14:paraId="069D4711" w14:textId="11D117BE" w:rsidR="001A274F" w:rsidRPr="00D21D8C" w:rsidRDefault="00DA418A">
      <w:pPr>
        <w:pStyle w:val="EMEAEnBodyText"/>
        <w:spacing w:before="0" w:after="0"/>
        <w:jc w:val="left"/>
        <w:rPr>
          <w:rFonts w:asciiTheme="majorBidi" w:hAnsiTheme="majorBidi" w:cstheme="majorBidi"/>
          <w:i/>
          <w:iCs/>
          <w:szCs w:val="22"/>
          <w:lang w:val="nl-NL"/>
        </w:rPr>
      </w:pPr>
      <w:r w:rsidRPr="00D21D8C">
        <w:rPr>
          <w:rFonts w:asciiTheme="majorBidi" w:hAnsiTheme="majorBidi" w:cstheme="majorBidi"/>
          <w:i/>
          <w:iCs/>
          <w:color w:val="000000"/>
          <w:szCs w:val="22"/>
          <w:lang w:val="nl-NL"/>
        </w:rPr>
        <w:t>Hulpstof</w:t>
      </w:r>
      <w:r w:rsidR="000F6E0E" w:rsidRPr="00D21D8C">
        <w:rPr>
          <w:rFonts w:asciiTheme="majorBidi" w:hAnsiTheme="majorBidi" w:cstheme="majorBidi"/>
          <w:i/>
          <w:iCs/>
          <w:color w:val="000000"/>
          <w:szCs w:val="22"/>
          <w:lang w:val="nl-NL"/>
        </w:rPr>
        <w:t>(</w:t>
      </w:r>
      <w:r w:rsidRPr="00D21D8C">
        <w:rPr>
          <w:rFonts w:asciiTheme="majorBidi" w:hAnsiTheme="majorBidi" w:cstheme="majorBidi"/>
          <w:i/>
          <w:iCs/>
          <w:color w:val="000000"/>
          <w:szCs w:val="22"/>
          <w:lang w:val="nl-NL"/>
        </w:rPr>
        <w:t>fen</w:t>
      </w:r>
      <w:r w:rsidR="000F6E0E" w:rsidRPr="00D21D8C">
        <w:rPr>
          <w:rFonts w:asciiTheme="majorBidi" w:hAnsiTheme="majorBidi" w:cstheme="majorBidi"/>
          <w:i/>
          <w:iCs/>
          <w:color w:val="000000"/>
          <w:szCs w:val="22"/>
          <w:lang w:val="nl-NL"/>
        </w:rPr>
        <w:t>)</w:t>
      </w:r>
      <w:r w:rsidRPr="00D21D8C">
        <w:rPr>
          <w:rFonts w:asciiTheme="majorBidi" w:hAnsiTheme="majorBidi" w:cstheme="majorBidi"/>
          <w:i/>
          <w:iCs/>
          <w:color w:val="000000"/>
          <w:szCs w:val="22"/>
          <w:lang w:val="nl-NL"/>
        </w:rPr>
        <w:t xml:space="preserve"> met bekend effect</w:t>
      </w:r>
    </w:p>
    <w:p w14:paraId="5ABC028F" w14:textId="77777777" w:rsidR="001A274F" w:rsidRPr="00D21D8C" w:rsidRDefault="00DA418A">
      <w:pPr>
        <w:spacing w:line="240" w:lineRule="auto"/>
        <w:rPr>
          <w:rFonts w:asciiTheme="majorBidi" w:hAnsiTheme="majorBidi" w:cstheme="majorBidi"/>
          <w:szCs w:val="22"/>
        </w:rPr>
      </w:pPr>
      <w:r w:rsidRPr="00D21D8C">
        <w:rPr>
          <w:rFonts w:asciiTheme="majorBidi" w:hAnsiTheme="majorBidi" w:cstheme="majorBidi"/>
          <w:color w:val="000000"/>
          <w:szCs w:val="22"/>
          <w:u w:color="FFFFFF"/>
        </w:rPr>
        <w:t>Elke filmomhulde tablet bevat 38 mg lactose (als monohydraat).</w:t>
      </w:r>
    </w:p>
    <w:p w14:paraId="79BB084E" w14:textId="77777777" w:rsidR="001A274F" w:rsidRPr="00D21D8C" w:rsidRDefault="001A274F">
      <w:pPr>
        <w:spacing w:line="240" w:lineRule="auto"/>
        <w:rPr>
          <w:rFonts w:asciiTheme="majorBidi" w:hAnsiTheme="majorBidi" w:cstheme="majorBidi"/>
          <w:szCs w:val="22"/>
        </w:rPr>
      </w:pPr>
    </w:p>
    <w:p w14:paraId="173A88CE" w14:textId="77777777" w:rsidR="001A274F" w:rsidRPr="00D21D8C" w:rsidRDefault="00DA418A">
      <w:pPr>
        <w:spacing w:line="240" w:lineRule="auto"/>
        <w:rPr>
          <w:rFonts w:asciiTheme="majorBidi" w:hAnsiTheme="majorBidi" w:cstheme="majorBidi"/>
          <w:szCs w:val="22"/>
        </w:rPr>
      </w:pPr>
      <w:r w:rsidRPr="00D21D8C">
        <w:rPr>
          <w:rFonts w:asciiTheme="majorBidi" w:hAnsiTheme="majorBidi" w:cstheme="majorBidi"/>
          <w:color w:val="000000"/>
          <w:szCs w:val="22"/>
          <w:u w:val="single" w:color="000000"/>
        </w:rPr>
        <w:t>Jaypirca 100 mg filmomhulde tabletten</w:t>
      </w:r>
    </w:p>
    <w:p w14:paraId="3B9F130A" w14:textId="77777777" w:rsidR="001A274F" w:rsidRPr="00D21D8C" w:rsidRDefault="001A274F">
      <w:pPr>
        <w:spacing w:line="240" w:lineRule="auto"/>
        <w:rPr>
          <w:rFonts w:asciiTheme="majorBidi" w:hAnsiTheme="majorBidi" w:cstheme="majorBidi"/>
          <w:szCs w:val="22"/>
        </w:rPr>
      </w:pPr>
    </w:p>
    <w:p w14:paraId="60AA360E" w14:textId="77777777" w:rsidR="001A274F" w:rsidRPr="00D21D8C" w:rsidRDefault="00DA418A">
      <w:pPr>
        <w:spacing w:line="240" w:lineRule="auto"/>
        <w:rPr>
          <w:rFonts w:asciiTheme="majorBidi" w:hAnsiTheme="majorBidi" w:cstheme="majorBidi"/>
          <w:szCs w:val="22"/>
        </w:rPr>
      </w:pPr>
      <w:r w:rsidRPr="00D21D8C">
        <w:rPr>
          <w:rFonts w:asciiTheme="majorBidi" w:hAnsiTheme="majorBidi" w:cstheme="majorBidi"/>
          <w:color w:val="000000"/>
          <w:szCs w:val="22"/>
          <w:u w:color="FFFFFF"/>
        </w:rPr>
        <w:t>Elke filmomhulde tablet bevat 100 mg pirtobrutinib.</w:t>
      </w:r>
    </w:p>
    <w:p w14:paraId="7CE8A59A" w14:textId="77777777" w:rsidR="001A274F" w:rsidRPr="00D21D8C" w:rsidRDefault="001A274F">
      <w:pPr>
        <w:spacing w:line="240" w:lineRule="auto"/>
        <w:rPr>
          <w:rFonts w:asciiTheme="majorBidi" w:hAnsiTheme="majorBidi" w:cstheme="majorBidi"/>
          <w:szCs w:val="22"/>
        </w:rPr>
      </w:pPr>
    </w:p>
    <w:p w14:paraId="04260214" w14:textId="62DB9636" w:rsidR="001A274F" w:rsidRPr="00D21D8C" w:rsidRDefault="00DA418A">
      <w:pPr>
        <w:pStyle w:val="EMEAEnBodyText"/>
        <w:spacing w:before="0" w:after="0"/>
        <w:jc w:val="left"/>
        <w:rPr>
          <w:rFonts w:asciiTheme="majorBidi" w:hAnsiTheme="majorBidi" w:cstheme="majorBidi"/>
          <w:i/>
          <w:iCs/>
          <w:szCs w:val="22"/>
          <w:lang w:val="nl-NL"/>
        </w:rPr>
      </w:pPr>
      <w:r w:rsidRPr="00D21D8C">
        <w:rPr>
          <w:rFonts w:asciiTheme="majorBidi" w:hAnsiTheme="majorBidi" w:cstheme="majorBidi"/>
          <w:i/>
          <w:iCs/>
          <w:color w:val="000000"/>
          <w:szCs w:val="22"/>
          <w:lang w:val="nl-NL"/>
        </w:rPr>
        <w:t>Hulpstof</w:t>
      </w:r>
      <w:r w:rsidR="000F6E0E" w:rsidRPr="00D21D8C">
        <w:rPr>
          <w:rFonts w:asciiTheme="majorBidi" w:hAnsiTheme="majorBidi" w:cstheme="majorBidi"/>
          <w:i/>
          <w:iCs/>
          <w:color w:val="000000"/>
          <w:szCs w:val="22"/>
          <w:lang w:val="nl-NL"/>
        </w:rPr>
        <w:t>(</w:t>
      </w:r>
      <w:r w:rsidRPr="00D21D8C">
        <w:rPr>
          <w:rFonts w:asciiTheme="majorBidi" w:hAnsiTheme="majorBidi" w:cstheme="majorBidi"/>
          <w:i/>
          <w:iCs/>
          <w:color w:val="000000"/>
          <w:szCs w:val="22"/>
          <w:lang w:val="nl-NL"/>
        </w:rPr>
        <w:t>fen</w:t>
      </w:r>
      <w:r w:rsidR="000F6E0E" w:rsidRPr="00D21D8C">
        <w:rPr>
          <w:rFonts w:asciiTheme="majorBidi" w:hAnsiTheme="majorBidi" w:cstheme="majorBidi"/>
          <w:i/>
          <w:iCs/>
          <w:color w:val="000000"/>
          <w:szCs w:val="22"/>
          <w:lang w:val="nl-NL"/>
        </w:rPr>
        <w:t>)</w:t>
      </w:r>
      <w:r w:rsidRPr="00D21D8C">
        <w:rPr>
          <w:rFonts w:asciiTheme="majorBidi" w:hAnsiTheme="majorBidi" w:cstheme="majorBidi"/>
          <w:i/>
          <w:iCs/>
          <w:color w:val="000000"/>
          <w:szCs w:val="22"/>
          <w:lang w:val="nl-NL"/>
        </w:rPr>
        <w:t xml:space="preserve"> met bekend effect</w:t>
      </w:r>
    </w:p>
    <w:p w14:paraId="412A79EE" w14:textId="77777777" w:rsidR="001A274F" w:rsidRPr="00D21D8C" w:rsidRDefault="00DA418A">
      <w:pPr>
        <w:spacing w:line="240" w:lineRule="auto"/>
        <w:rPr>
          <w:rFonts w:asciiTheme="majorBidi" w:hAnsiTheme="majorBidi" w:cstheme="majorBidi"/>
          <w:szCs w:val="22"/>
        </w:rPr>
      </w:pPr>
      <w:r w:rsidRPr="00D21D8C">
        <w:rPr>
          <w:rFonts w:asciiTheme="majorBidi" w:hAnsiTheme="majorBidi" w:cstheme="majorBidi"/>
          <w:color w:val="000000"/>
          <w:szCs w:val="22"/>
          <w:u w:color="FFFFFF"/>
        </w:rPr>
        <w:t>Elke filmomhulde tablet bevat 77 mg lactose (als monohydraat).</w:t>
      </w:r>
    </w:p>
    <w:p w14:paraId="15946FF0" w14:textId="77777777" w:rsidR="001A274F" w:rsidRPr="00D21D8C" w:rsidRDefault="001A274F">
      <w:pPr>
        <w:pStyle w:val="EMEAEnBodyText"/>
        <w:spacing w:before="0" w:after="0"/>
        <w:jc w:val="left"/>
        <w:rPr>
          <w:rFonts w:asciiTheme="majorBidi" w:hAnsiTheme="majorBidi" w:cstheme="majorBidi"/>
          <w:szCs w:val="22"/>
          <w:lang w:val="nl-NL"/>
        </w:rPr>
      </w:pPr>
    </w:p>
    <w:p w14:paraId="7A9700CF" w14:textId="0D34E748" w:rsidR="001A274F" w:rsidRPr="00D21D8C" w:rsidRDefault="00DA418A">
      <w:pPr>
        <w:spacing w:line="240" w:lineRule="auto"/>
        <w:outlineLvl w:val="0"/>
        <w:rPr>
          <w:rFonts w:asciiTheme="majorBidi" w:hAnsiTheme="majorBidi" w:cstheme="majorBidi"/>
          <w:szCs w:val="22"/>
        </w:rPr>
      </w:pPr>
      <w:r w:rsidRPr="00D21D8C">
        <w:rPr>
          <w:rFonts w:asciiTheme="majorBidi" w:hAnsiTheme="majorBidi" w:cstheme="majorBidi"/>
          <w:color w:val="000000"/>
          <w:szCs w:val="22"/>
          <w:u w:color="FFFFFF"/>
        </w:rPr>
        <w:t>Voor de volledige lijst van hulpstoffen, zie rubriek 6.1.</w:t>
      </w:r>
      <w:r w:rsidR="0011019E" w:rsidRPr="00D21D8C">
        <w:rPr>
          <w:rFonts w:asciiTheme="majorBidi" w:hAnsiTheme="majorBidi" w:cstheme="majorBidi"/>
          <w:color w:val="000000"/>
          <w:szCs w:val="22"/>
          <w:u w:color="FFFFFF"/>
        </w:rPr>
        <w:fldChar w:fldCharType="begin"/>
      </w:r>
      <w:r w:rsidR="0011019E" w:rsidRPr="00D21D8C">
        <w:rPr>
          <w:rFonts w:asciiTheme="majorBidi" w:hAnsiTheme="majorBidi" w:cstheme="majorBidi"/>
          <w:color w:val="000000"/>
          <w:szCs w:val="22"/>
          <w:u w:color="FFFFFF"/>
        </w:rPr>
        <w:instrText xml:space="preserve"> DOCVARIABLE vault_nd_8ccca254-21cb-464c-beae-1c1d2c5ffa89 \* MERGEFORMAT </w:instrText>
      </w:r>
      <w:r w:rsidR="0011019E" w:rsidRPr="00D21D8C">
        <w:rPr>
          <w:rFonts w:asciiTheme="majorBidi" w:hAnsiTheme="majorBidi" w:cstheme="majorBidi"/>
          <w:color w:val="000000"/>
          <w:szCs w:val="22"/>
          <w:u w:color="FFFFFF"/>
        </w:rPr>
        <w:fldChar w:fldCharType="separate"/>
      </w:r>
      <w:r w:rsidR="0011019E" w:rsidRPr="00D21D8C">
        <w:rPr>
          <w:rFonts w:asciiTheme="majorBidi" w:hAnsiTheme="majorBidi" w:cstheme="majorBidi"/>
          <w:color w:val="000000"/>
          <w:szCs w:val="22"/>
          <w:u w:color="FFFFFF"/>
        </w:rPr>
        <w:t xml:space="preserve"> </w:t>
      </w:r>
      <w:r w:rsidR="0011019E" w:rsidRPr="00D21D8C">
        <w:rPr>
          <w:rFonts w:asciiTheme="majorBidi" w:hAnsiTheme="majorBidi" w:cstheme="majorBidi"/>
          <w:color w:val="000000"/>
          <w:szCs w:val="22"/>
          <w:u w:color="FFFFFF"/>
        </w:rPr>
        <w:fldChar w:fldCharType="end"/>
      </w:r>
    </w:p>
    <w:p w14:paraId="0E06EF00" w14:textId="77777777" w:rsidR="001A274F" w:rsidRPr="00D21D8C" w:rsidRDefault="001A274F">
      <w:pPr>
        <w:spacing w:line="240" w:lineRule="auto"/>
        <w:rPr>
          <w:rFonts w:asciiTheme="majorBidi" w:hAnsiTheme="majorBidi" w:cstheme="majorBidi"/>
          <w:szCs w:val="22"/>
        </w:rPr>
      </w:pPr>
    </w:p>
    <w:p w14:paraId="3B0B98C2" w14:textId="77777777" w:rsidR="001A274F" w:rsidRPr="00D21D8C" w:rsidRDefault="001A274F">
      <w:pPr>
        <w:spacing w:line="240" w:lineRule="auto"/>
        <w:rPr>
          <w:rFonts w:asciiTheme="majorBidi" w:hAnsiTheme="majorBidi" w:cstheme="majorBidi"/>
          <w:szCs w:val="22"/>
        </w:rPr>
      </w:pPr>
    </w:p>
    <w:p w14:paraId="46F02870" w14:textId="77777777" w:rsidR="001A274F" w:rsidRPr="00D21D8C" w:rsidRDefault="00DA418A">
      <w:pPr>
        <w:keepNext/>
        <w:spacing w:line="240" w:lineRule="auto"/>
        <w:ind w:left="567" w:hanging="567"/>
        <w:rPr>
          <w:rFonts w:asciiTheme="majorBidi" w:hAnsiTheme="majorBidi" w:cstheme="majorBidi"/>
          <w:caps/>
          <w:szCs w:val="22"/>
        </w:rPr>
      </w:pPr>
      <w:r w:rsidRPr="00D21D8C">
        <w:rPr>
          <w:rFonts w:asciiTheme="majorBidi" w:hAnsiTheme="majorBidi" w:cstheme="majorBidi"/>
          <w:b/>
          <w:bCs/>
          <w:color w:val="000000"/>
          <w:szCs w:val="22"/>
          <w:u w:color="FFFFFF"/>
        </w:rPr>
        <w:t>3.</w:t>
      </w:r>
      <w:r w:rsidRPr="00D21D8C">
        <w:rPr>
          <w:rFonts w:asciiTheme="majorBidi" w:hAnsiTheme="majorBidi" w:cstheme="majorBidi"/>
          <w:b/>
          <w:bCs/>
          <w:color w:val="000000"/>
          <w:szCs w:val="22"/>
          <w:u w:color="FFFFFF"/>
        </w:rPr>
        <w:tab/>
        <w:t xml:space="preserve">FARMACEUTISCHE </w:t>
      </w:r>
      <w:r w:rsidRPr="00D21D8C">
        <w:rPr>
          <w:rFonts w:asciiTheme="majorBidi" w:eastAsia="Times New Roman Bold" w:hAnsiTheme="majorBidi" w:cstheme="majorBidi"/>
          <w:b/>
          <w:bCs/>
          <w:color w:val="000000"/>
          <w:szCs w:val="22"/>
          <w:u w:color="FFFFFF"/>
        </w:rPr>
        <w:t>VORM</w:t>
      </w:r>
    </w:p>
    <w:p w14:paraId="064C21FD" w14:textId="77777777" w:rsidR="001A274F" w:rsidRPr="00D21D8C" w:rsidRDefault="001A274F">
      <w:pPr>
        <w:keepNext/>
        <w:spacing w:line="240" w:lineRule="auto"/>
        <w:rPr>
          <w:rFonts w:asciiTheme="majorBidi" w:hAnsiTheme="majorBidi" w:cstheme="majorBidi"/>
          <w:szCs w:val="22"/>
        </w:rPr>
      </w:pPr>
    </w:p>
    <w:p w14:paraId="31C09D76" w14:textId="03EFA7E8"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color="FFFFFF"/>
        </w:rPr>
        <w:t>Filmomhulde tablet (tablet)</w:t>
      </w:r>
      <w:r w:rsidR="005B1A52" w:rsidRPr="00D21D8C">
        <w:rPr>
          <w:rFonts w:asciiTheme="majorBidi" w:hAnsiTheme="majorBidi" w:cstheme="majorBidi"/>
          <w:color w:val="000000"/>
          <w:szCs w:val="22"/>
          <w:u w:color="FFFFFF"/>
        </w:rPr>
        <w:t>.</w:t>
      </w:r>
    </w:p>
    <w:p w14:paraId="45657456" w14:textId="77777777" w:rsidR="001A274F" w:rsidRPr="00D21D8C" w:rsidRDefault="001A274F">
      <w:pPr>
        <w:spacing w:line="240" w:lineRule="auto"/>
        <w:rPr>
          <w:rFonts w:asciiTheme="majorBidi" w:hAnsiTheme="majorBidi" w:cstheme="majorBidi"/>
          <w:szCs w:val="22"/>
        </w:rPr>
      </w:pPr>
    </w:p>
    <w:p w14:paraId="602CD11F" w14:textId="77777777"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val="single" w:color="000000"/>
        </w:rPr>
        <w:t>Jaypirca 50 mg filmomhulde tabletten</w:t>
      </w:r>
    </w:p>
    <w:p w14:paraId="325F6FD9" w14:textId="77777777" w:rsidR="001A274F" w:rsidRPr="00D21D8C" w:rsidRDefault="001A274F">
      <w:pPr>
        <w:keepNext/>
        <w:spacing w:line="240" w:lineRule="auto"/>
        <w:rPr>
          <w:rFonts w:asciiTheme="majorBidi" w:hAnsiTheme="majorBidi" w:cstheme="majorBidi"/>
          <w:szCs w:val="22"/>
        </w:rPr>
      </w:pPr>
    </w:p>
    <w:p w14:paraId="1252ACA7" w14:textId="4BF6E8ED"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color="FFFFFF"/>
        </w:rPr>
        <w:t>Blauwe, afgerond driehoekige tablet van 9 x 9 mm met “Lilly</w:t>
      </w:r>
      <w:r w:rsidR="0058500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 xml:space="preserve">50” </w:t>
      </w:r>
      <w:r w:rsidR="004E798D" w:rsidRPr="00D21D8C">
        <w:rPr>
          <w:rFonts w:asciiTheme="majorBidi" w:hAnsiTheme="majorBidi" w:cstheme="majorBidi"/>
          <w:color w:val="000000"/>
          <w:szCs w:val="22"/>
          <w:u w:color="FFFFFF"/>
        </w:rPr>
        <w:t xml:space="preserve">gegraveerd </w:t>
      </w:r>
      <w:r w:rsidRPr="00D21D8C">
        <w:rPr>
          <w:rFonts w:asciiTheme="majorBidi" w:hAnsiTheme="majorBidi" w:cstheme="majorBidi"/>
          <w:color w:val="000000"/>
          <w:szCs w:val="22"/>
          <w:u w:color="FFFFFF"/>
        </w:rPr>
        <w:t xml:space="preserve">aan één </w:t>
      </w:r>
      <w:r w:rsidR="00D5203B" w:rsidRPr="00D21D8C">
        <w:rPr>
          <w:rFonts w:asciiTheme="majorBidi" w:hAnsiTheme="majorBidi" w:cstheme="majorBidi"/>
          <w:color w:val="000000"/>
          <w:szCs w:val="22"/>
          <w:u w:color="FFFFFF"/>
        </w:rPr>
        <w:t xml:space="preserve">zijde </w:t>
      </w:r>
      <w:r w:rsidRPr="00D21D8C">
        <w:rPr>
          <w:rFonts w:asciiTheme="majorBidi" w:hAnsiTheme="majorBidi" w:cstheme="majorBidi"/>
          <w:color w:val="000000"/>
          <w:szCs w:val="22"/>
          <w:u w:color="FFFFFF"/>
        </w:rPr>
        <w:t xml:space="preserve">en “6902” aan de andere </w:t>
      </w:r>
      <w:r w:rsidR="00D5203B" w:rsidRPr="00D21D8C">
        <w:rPr>
          <w:rFonts w:asciiTheme="majorBidi" w:hAnsiTheme="majorBidi" w:cstheme="majorBidi"/>
          <w:color w:val="000000"/>
          <w:szCs w:val="22"/>
          <w:u w:color="FFFFFF"/>
        </w:rPr>
        <w:t>zijde</w:t>
      </w:r>
      <w:r w:rsidRPr="00D21D8C">
        <w:rPr>
          <w:rFonts w:asciiTheme="majorBidi" w:hAnsiTheme="majorBidi" w:cstheme="majorBidi"/>
          <w:color w:val="000000"/>
          <w:szCs w:val="22"/>
          <w:u w:color="FFFFFF"/>
        </w:rPr>
        <w:t>.</w:t>
      </w:r>
    </w:p>
    <w:p w14:paraId="08B64DD3" w14:textId="77777777" w:rsidR="001A274F" w:rsidRPr="00D21D8C" w:rsidRDefault="001A274F">
      <w:pPr>
        <w:spacing w:line="240" w:lineRule="auto"/>
        <w:rPr>
          <w:rFonts w:asciiTheme="majorBidi" w:hAnsiTheme="majorBidi" w:cstheme="majorBidi"/>
          <w:szCs w:val="22"/>
        </w:rPr>
      </w:pPr>
    </w:p>
    <w:p w14:paraId="54D4523F" w14:textId="77777777"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val="single" w:color="000000"/>
        </w:rPr>
        <w:t>Jaypirca 100 mg filmomhulde tabletten</w:t>
      </w:r>
    </w:p>
    <w:p w14:paraId="7064165F" w14:textId="77777777" w:rsidR="001A274F" w:rsidRPr="00D21D8C" w:rsidRDefault="001A274F">
      <w:pPr>
        <w:keepNext/>
        <w:spacing w:line="240" w:lineRule="auto"/>
        <w:rPr>
          <w:rFonts w:asciiTheme="majorBidi" w:hAnsiTheme="majorBidi" w:cstheme="majorBidi"/>
          <w:szCs w:val="22"/>
        </w:rPr>
      </w:pPr>
    </w:p>
    <w:p w14:paraId="4ABB3266" w14:textId="41995E5E"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color="FFFFFF"/>
        </w:rPr>
        <w:t xml:space="preserve">Blauwe, ronde tablet van 10 mm met “Lilly 100” </w:t>
      </w:r>
      <w:r w:rsidR="004E798D" w:rsidRPr="00D21D8C">
        <w:rPr>
          <w:rFonts w:asciiTheme="majorBidi" w:hAnsiTheme="majorBidi" w:cstheme="majorBidi"/>
          <w:color w:val="000000"/>
          <w:szCs w:val="22"/>
          <w:u w:color="FFFFFF"/>
        </w:rPr>
        <w:t xml:space="preserve">gegraveerd </w:t>
      </w:r>
      <w:r w:rsidRPr="00D21D8C">
        <w:rPr>
          <w:rFonts w:asciiTheme="majorBidi" w:hAnsiTheme="majorBidi" w:cstheme="majorBidi"/>
          <w:color w:val="000000"/>
          <w:szCs w:val="22"/>
          <w:u w:color="FFFFFF"/>
        </w:rPr>
        <w:t xml:space="preserve">aan één </w:t>
      </w:r>
      <w:r w:rsidR="00D5203B" w:rsidRPr="00D21D8C">
        <w:rPr>
          <w:rFonts w:asciiTheme="majorBidi" w:hAnsiTheme="majorBidi" w:cstheme="majorBidi"/>
          <w:color w:val="000000"/>
          <w:szCs w:val="22"/>
          <w:u w:color="FFFFFF"/>
        </w:rPr>
        <w:t xml:space="preserve">zijde </w:t>
      </w:r>
      <w:r w:rsidRPr="00D21D8C">
        <w:rPr>
          <w:rFonts w:asciiTheme="majorBidi" w:hAnsiTheme="majorBidi" w:cstheme="majorBidi"/>
          <w:color w:val="000000"/>
          <w:szCs w:val="22"/>
          <w:u w:color="FFFFFF"/>
        </w:rPr>
        <w:t xml:space="preserve">en “7026” aan de andere </w:t>
      </w:r>
      <w:r w:rsidR="00D5203B" w:rsidRPr="00D21D8C">
        <w:rPr>
          <w:rFonts w:asciiTheme="majorBidi" w:hAnsiTheme="majorBidi" w:cstheme="majorBidi"/>
          <w:color w:val="000000"/>
          <w:szCs w:val="22"/>
          <w:u w:color="FFFFFF"/>
        </w:rPr>
        <w:t>zijde</w:t>
      </w:r>
      <w:r w:rsidRPr="00D21D8C">
        <w:rPr>
          <w:rFonts w:asciiTheme="majorBidi" w:hAnsiTheme="majorBidi" w:cstheme="majorBidi"/>
          <w:color w:val="000000"/>
          <w:szCs w:val="22"/>
          <w:u w:color="FFFFFF"/>
        </w:rPr>
        <w:t>.</w:t>
      </w:r>
    </w:p>
    <w:p w14:paraId="0A893E83" w14:textId="77777777" w:rsidR="001A274F" w:rsidRPr="00D21D8C" w:rsidRDefault="001A274F">
      <w:pPr>
        <w:spacing w:line="240" w:lineRule="auto"/>
        <w:rPr>
          <w:rFonts w:asciiTheme="majorBidi" w:hAnsiTheme="majorBidi" w:cstheme="majorBidi"/>
          <w:szCs w:val="22"/>
        </w:rPr>
      </w:pPr>
    </w:p>
    <w:p w14:paraId="4E2FD7B1" w14:textId="77777777" w:rsidR="001A274F" w:rsidRPr="00D21D8C" w:rsidRDefault="001A274F">
      <w:pPr>
        <w:spacing w:line="240" w:lineRule="auto"/>
        <w:rPr>
          <w:rFonts w:asciiTheme="majorBidi" w:hAnsiTheme="majorBidi" w:cstheme="majorBidi"/>
          <w:szCs w:val="22"/>
        </w:rPr>
      </w:pPr>
    </w:p>
    <w:p w14:paraId="1C7292AB" w14:textId="77777777" w:rsidR="001A274F" w:rsidRPr="00D21D8C" w:rsidRDefault="00DA418A">
      <w:pPr>
        <w:keepNext/>
        <w:spacing w:line="240" w:lineRule="auto"/>
        <w:ind w:left="567" w:hanging="567"/>
        <w:rPr>
          <w:rFonts w:asciiTheme="majorBidi" w:hAnsiTheme="majorBidi" w:cstheme="majorBidi"/>
          <w:caps/>
          <w:szCs w:val="22"/>
        </w:rPr>
      </w:pPr>
      <w:r w:rsidRPr="00D21D8C">
        <w:rPr>
          <w:rFonts w:asciiTheme="majorBidi" w:hAnsiTheme="majorBidi" w:cstheme="majorBidi"/>
          <w:b/>
          <w:bCs/>
          <w:caps/>
          <w:color w:val="000000"/>
          <w:szCs w:val="22"/>
          <w:u w:color="FFFFFF"/>
        </w:rPr>
        <w:lastRenderedPageBreak/>
        <w:t>4.</w:t>
      </w:r>
      <w:r w:rsidRPr="00D21D8C">
        <w:rPr>
          <w:rFonts w:asciiTheme="majorBidi" w:hAnsiTheme="majorBidi" w:cstheme="majorBidi"/>
          <w:b/>
          <w:bCs/>
          <w:caps/>
          <w:color w:val="000000"/>
          <w:szCs w:val="22"/>
          <w:u w:color="FFFFFF"/>
        </w:rPr>
        <w:tab/>
      </w:r>
      <w:r w:rsidRPr="00D21D8C">
        <w:rPr>
          <w:rFonts w:asciiTheme="majorBidi" w:hAnsiTheme="majorBidi" w:cstheme="majorBidi"/>
          <w:b/>
          <w:bCs/>
          <w:color w:val="000000"/>
          <w:szCs w:val="22"/>
          <w:u w:color="FFFFFF"/>
        </w:rPr>
        <w:t>KLINISCHE</w:t>
      </w:r>
      <w:r w:rsidRPr="00D21D8C">
        <w:rPr>
          <w:rFonts w:asciiTheme="majorBidi" w:eastAsia="Times New Roman Bold" w:hAnsiTheme="majorBidi" w:cstheme="majorBidi"/>
          <w:b/>
          <w:bCs/>
          <w:color w:val="000000"/>
          <w:szCs w:val="22"/>
          <w:u w:color="FFFFFF"/>
        </w:rPr>
        <w:t xml:space="preserve"> GEGEVENS</w:t>
      </w:r>
    </w:p>
    <w:p w14:paraId="72717D24" w14:textId="77777777" w:rsidR="001A274F" w:rsidRPr="00D21D8C" w:rsidRDefault="001A274F">
      <w:pPr>
        <w:keepNext/>
        <w:spacing w:line="240" w:lineRule="auto"/>
        <w:rPr>
          <w:rFonts w:asciiTheme="majorBidi" w:hAnsiTheme="majorBidi" w:cstheme="majorBidi"/>
          <w:szCs w:val="22"/>
        </w:rPr>
      </w:pPr>
    </w:p>
    <w:p w14:paraId="06DAB1D0" w14:textId="6F66B60D" w:rsidR="001A274F" w:rsidRPr="00D21D8C" w:rsidRDefault="00DA418A">
      <w:pPr>
        <w:keepNext/>
        <w:spacing w:line="240" w:lineRule="auto"/>
        <w:ind w:left="567" w:hanging="567"/>
        <w:outlineLvl w:val="0"/>
        <w:rPr>
          <w:rFonts w:asciiTheme="majorBidi" w:hAnsiTheme="majorBidi" w:cstheme="majorBidi"/>
          <w:szCs w:val="22"/>
        </w:rPr>
      </w:pPr>
      <w:r w:rsidRPr="00D21D8C">
        <w:rPr>
          <w:rFonts w:asciiTheme="majorBidi" w:hAnsiTheme="majorBidi" w:cstheme="majorBidi"/>
          <w:b/>
          <w:bCs/>
          <w:color w:val="000000"/>
          <w:szCs w:val="22"/>
          <w:u w:color="FFFFFF"/>
        </w:rPr>
        <w:t>4.1</w:t>
      </w:r>
      <w:r w:rsidRPr="00D21D8C">
        <w:rPr>
          <w:rFonts w:asciiTheme="majorBidi" w:hAnsiTheme="majorBidi" w:cstheme="majorBidi"/>
          <w:b/>
          <w:bCs/>
          <w:color w:val="000000"/>
          <w:szCs w:val="22"/>
          <w:u w:color="FFFFFF"/>
        </w:rPr>
        <w:tab/>
        <w:t>Therapeutische indicaties</w:t>
      </w:r>
      <w:r w:rsidR="0011019E" w:rsidRPr="00D21D8C">
        <w:rPr>
          <w:rFonts w:asciiTheme="majorBidi" w:hAnsiTheme="majorBidi" w:cstheme="majorBidi"/>
          <w:b/>
          <w:bCs/>
          <w:color w:val="000000"/>
          <w:szCs w:val="22"/>
          <w:u w:color="FFFFFF"/>
        </w:rPr>
        <w:fldChar w:fldCharType="begin"/>
      </w:r>
      <w:r w:rsidR="0011019E" w:rsidRPr="00D21D8C">
        <w:rPr>
          <w:rFonts w:asciiTheme="majorBidi" w:hAnsiTheme="majorBidi" w:cstheme="majorBidi"/>
          <w:b/>
          <w:bCs/>
          <w:color w:val="000000"/>
          <w:szCs w:val="22"/>
          <w:u w:color="FFFFFF"/>
        </w:rPr>
        <w:instrText xml:space="preserve"> DOCVARIABLE vault_nd_3d4df1d8-afe7-4fa6-9003-cb4cc43960e7 \* MERGEFORMAT </w:instrText>
      </w:r>
      <w:r w:rsidR="0011019E" w:rsidRPr="00D21D8C">
        <w:rPr>
          <w:rFonts w:asciiTheme="majorBidi" w:hAnsiTheme="majorBidi" w:cstheme="majorBidi"/>
          <w:b/>
          <w:bCs/>
          <w:color w:val="000000"/>
          <w:szCs w:val="22"/>
          <w:u w:color="FFFFFF"/>
        </w:rPr>
        <w:fldChar w:fldCharType="separate"/>
      </w:r>
      <w:r w:rsidR="0011019E" w:rsidRPr="00D21D8C">
        <w:rPr>
          <w:rFonts w:asciiTheme="majorBidi" w:hAnsiTheme="majorBidi" w:cstheme="majorBidi"/>
          <w:b/>
          <w:bCs/>
          <w:color w:val="000000"/>
          <w:szCs w:val="22"/>
          <w:u w:color="FFFFFF"/>
        </w:rPr>
        <w:t xml:space="preserve"> </w:t>
      </w:r>
      <w:r w:rsidR="0011019E" w:rsidRPr="00D21D8C">
        <w:rPr>
          <w:rFonts w:asciiTheme="majorBidi" w:hAnsiTheme="majorBidi" w:cstheme="majorBidi"/>
          <w:b/>
          <w:bCs/>
          <w:color w:val="000000"/>
          <w:szCs w:val="22"/>
          <w:u w:color="FFFFFF"/>
        </w:rPr>
        <w:fldChar w:fldCharType="end"/>
      </w:r>
    </w:p>
    <w:p w14:paraId="0EE4230D" w14:textId="77777777" w:rsidR="001A274F" w:rsidRPr="00D21D8C" w:rsidRDefault="001A274F">
      <w:pPr>
        <w:keepNext/>
        <w:spacing w:line="240" w:lineRule="auto"/>
        <w:rPr>
          <w:rFonts w:asciiTheme="majorBidi" w:hAnsiTheme="majorBidi" w:cstheme="majorBidi"/>
          <w:szCs w:val="22"/>
        </w:rPr>
      </w:pPr>
    </w:p>
    <w:p w14:paraId="61215CD2" w14:textId="79C26D35" w:rsidR="001A274F" w:rsidRPr="00D21D8C" w:rsidRDefault="00DA418A">
      <w:pPr>
        <w:keepNext/>
        <w:spacing w:line="240" w:lineRule="auto"/>
        <w:rPr>
          <w:rFonts w:asciiTheme="majorBidi" w:hAnsiTheme="majorBidi" w:cstheme="majorBidi"/>
          <w:color w:val="000000"/>
          <w:szCs w:val="22"/>
          <w:u w:color="FFFFFF"/>
        </w:rPr>
      </w:pPr>
      <w:r w:rsidRPr="00D21D8C">
        <w:rPr>
          <w:rFonts w:asciiTheme="majorBidi" w:hAnsiTheme="majorBidi" w:cstheme="majorBidi"/>
          <w:color w:val="000000"/>
          <w:szCs w:val="22"/>
          <w:u w:color="FFFFFF"/>
        </w:rPr>
        <w:t>Jaypirca als monotherapie is geïndiceerd voor de behandeling van volwassen patiënten met recidiverend of refractair mantelcellymfoom (MCL) die eerder zijn behandeld met een Bruton</w:t>
      </w:r>
      <w:r w:rsidR="004E798D" w:rsidRPr="00D21D8C">
        <w:rPr>
          <w:rFonts w:asciiTheme="majorBidi" w:hAnsiTheme="majorBidi" w:cstheme="majorBidi"/>
          <w:color w:val="000000"/>
          <w:szCs w:val="22"/>
          <w:u w:color="FFFFFF"/>
        </w:rPr>
        <w:t>'s</w:t>
      </w:r>
      <w:r w:rsidRPr="00D21D8C">
        <w:rPr>
          <w:rFonts w:asciiTheme="majorBidi" w:hAnsiTheme="majorBidi" w:cstheme="majorBidi"/>
          <w:color w:val="000000"/>
          <w:szCs w:val="22"/>
          <w:u w:color="FFFFFF"/>
        </w:rPr>
        <w:t xml:space="preserve"> tyrosinekinase (BTK)-remmer.</w:t>
      </w:r>
    </w:p>
    <w:p w14:paraId="4129F054" w14:textId="77777777" w:rsidR="00DC52E4" w:rsidRPr="00D21D8C" w:rsidRDefault="00DC52E4">
      <w:pPr>
        <w:keepNext/>
        <w:spacing w:line="240" w:lineRule="auto"/>
        <w:rPr>
          <w:rFonts w:asciiTheme="majorBidi" w:hAnsiTheme="majorBidi" w:cstheme="majorBidi"/>
          <w:color w:val="000000"/>
          <w:szCs w:val="22"/>
          <w:u w:color="FFFFFF"/>
        </w:rPr>
      </w:pPr>
    </w:p>
    <w:p w14:paraId="4D65AEA3" w14:textId="34B684FE" w:rsidR="00DC52E4" w:rsidRPr="00D21D8C" w:rsidRDefault="00DC52E4">
      <w:pPr>
        <w:keepNext/>
        <w:spacing w:line="240" w:lineRule="auto"/>
        <w:rPr>
          <w:rFonts w:asciiTheme="majorBidi" w:hAnsiTheme="majorBidi" w:cstheme="majorBidi"/>
          <w:szCs w:val="22"/>
        </w:rPr>
      </w:pPr>
      <w:r w:rsidRPr="00D21D8C">
        <w:rPr>
          <w:rFonts w:asciiTheme="majorBidi" w:hAnsiTheme="majorBidi" w:cstheme="majorBidi"/>
          <w:szCs w:val="22"/>
        </w:rPr>
        <w:t>Jaypirca als monotherapie is geïndiceerd voor de behandeling van volwassen patiënten met recidiverende of refractaire chronische lymfatische leukemie (CLL) die eerder zijn behandeld met een BTK-remmer.</w:t>
      </w:r>
    </w:p>
    <w:p w14:paraId="57F2DFD8" w14:textId="77777777" w:rsidR="001A274F" w:rsidRPr="00D21D8C" w:rsidRDefault="001A274F">
      <w:pPr>
        <w:spacing w:line="240" w:lineRule="auto"/>
        <w:rPr>
          <w:rFonts w:asciiTheme="majorBidi" w:hAnsiTheme="majorBidi" w:cstheme="majorBidi"/>
          <w:szCs w:val="22"/>
        </w:rPr>
      </w:pPr>
    </w:p>
    <w:p w14:paraId="1B824F77" w14:textId="1C06D605" w:rsidR="001A274F" w:rsidRPr="00D21D8C" w:rsidRDefault="00DA418A">
      <w:pPr>
        <w:keepNext/>
        <w:spacing w:line="240" w:lineRule="auto"/>
        <w:outlineLvl w:val="0"/>
        <w:rPr>
          <w:rFonts w:asciiTheme="majorBidi" w:hAnsiTheme="majorBidi" w:cstheme="majorBidi"/>
          <w:b/>
          <w:szCs w:val="22"/>
        </w:rPr>
      </w:pPr>
      <w:r w:rsidRPr="00D21D8C">
        <w:rPr>
          <w:rFonts w:asciiTheme="majorBidi" w:hAnsiTheme="majorBidi" w:cstheme="majorBidi"/>
          <w:b/>
          <w:bCs/>
          <w:color w:val="000000"/>
          <w:szCs w:val="22"/>
          <w:u w:color="FFFFFF"/>
        </w:rPr>
        <w:t>4.2</w:t>
      </w:r>
      <w:r w:rsidRPr="00D21D8C">
        <w:rPr>
          <w:rFonts w:asciiTheme="majorBidi" w:hAnsiTheme="majorBidi" w:cstheme="majorBidi"/>
          <w:b/>
          <w:bCs/>
          <w:color w:val="000000"/>
          <w:szCs w:val="22"/>
          <w:u w:color="FFFFFF"/>
        </w:rPr>
        <w:tab/>
        <w:t>Dosering en wijze van toediening</w:t>
      </w:r>
      <w:r w:rsidR="0011019E" w:rsidRPr="00D21D8C">
        <w:rPr>
          <w:rFonts w:asciiTheme="majorBidi" w:hAnsiTheme="majorBidi" w:cstheme="majorBidi"/>
          <w:b/>
          <w:bCs/>
          <w:color w:val="000000"/>
          <w:szCs w:val="22"/>
          <w:u w:color="FFFFFF"/>
        </w:rPr>
        <w:fldChar w:fldCharType="begin"/>
      </w:r>
      <w:r w:rsidR="0011019E" w:rsidRPr="00D21D8C">
        <w:rPr>
          <w:rFonts w:asciiTheme="majorBidi" w:hAnsiTheme="majorBidi" w:cstheme="majorBidi"/>
          <w:b/>
          <w:bCs/>
          <w:color w:val="000000"/>
          <w:szCs w:val="22"/>
          <w:u w:color="FFFFFF"/>
        </w:rPr>
        <w:instrText xml:space="preserve"> DOCVARIABLE vault_nd_dfe5491e-a1ee-4340-9100-8caf63d57c38 \* MERGEFORMAT </w:instrText>
      </w:r>
      <w:r w:rsidR="0011019E" w:rsidRPr="00D21D8C">
        <w:rPr>
          <w:rFonts w:asciiTheme="majorBidi" w:hAnsiTheme="majorBidi" w:cstheme="majorBidi"/>
          <w:b/>
          <w:bCs/>
          <w:color w:val="000000"/>
          <w:szCs w:val="22"/>
          <w:u w:color="FFFFFF"/>
        </w:rPr>
        <w:fldChar w:fldCharType="separate"/>
      </w:r>
      <w:r w:rsidR="0011019E" w:rsidRPr="00D21D8C">
        <w:rPr>
          <w:rFonts w:asciiTheme="majorBidi" w:hAnsiTheme="majorBidi" w:cstheme="majorBidi"/>
          <w:b/>
          <w:bCs/>
          <w:color w:val="000000"/>
          <w:szCs w:val="22"/>
          <w:u w:color="FFFFFF"/>
        </w:rPr>
        <w:t xml:space="preserve"> </w:t>
      </w:r>
      <w:r w:rsidR="0011019E" w:rsidRPr="00D21D8C">
        <w:rPr>
          <w:rFonts w:asciiTheme="majorBidi" w:hAnsiTheme="majorBidi" w:cstheme="majorBidi"/>
          <w:b/>
          <w:bCs/>
          <w:color w:val="000000"/>
          <w:szCs w:val="22"/>
          <w:u w:color="FFFFFF"/>
        </w:rPr>
        <w:fldChar w:fldCharType="end"/>
      </w:r>
    </w:p>
    <w:p w14:paraId="712F5494" w14:textId="77777777" w:rsidR="001A274F" w:rsidRPr="00D21D8C" w:rsidRDefault="001A274F">
      <w:pPr>
        <w:keepNext/>
        <w:spacing w:line="240" w:lineRule="auto"/>
        <w:rPr>
          <w:rFonts w:asciiTheme="majorBidi" w:hAnsiTheme="majorBidi" w:cstheme="majorBidi"/>
          <w:szCs w:val="22"/>
        </w:rPr>
      </w:pPr>
    </w:p>
    <w:p w14:paraId="3FCCB57D" w14:textId="40500651"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color="FFFFFF"/>
        </w:rPr>
        <w:t>Behandeling met Jaypirca moet worden gestart door en onder toezicht staan van arts</w:t>
      </w:r>
      <w:r w:rsidR="00145BAE" w:rsidRPr="00D21D8C">
        <w:rPr>
          <w:rFonts w:asciiTheme="majorBidi" w:hAnsiTheme="majorBidi" w:cstheme="majorBidi"/>
          <w:color w:val="000000"/>
          <w:szCs w:val="22"/>
          <w:u w:color="FFFFFF"/>
        </w:rPr>
        <w:t>en</w:t>
      </w:r>
      <w:r w:rsidRPr="00D21D8C">
        <w:rPr>
          <w:rFonts w:asciiTheme="majorBidi" w:hAnsiTheme="majorBidi" w:cstheme="majorBidi"/>
          <w:color w:val="000000"/>
          <w:szCs w:val="22"/>
          <w:u w:color="FFFFFF"/>
        </w:rPr>
        <w:t xml:space="preserve"> </w:t>
      </w:r>
      <w:r w:rsidR="00145BAE" w:rsidRPr="00D21D8C">
        <w:rPr>
          <w:rFonts w:asciiTheme="majorBidi" w:hAnsiTheme="majorBidi" w:cstheme="majorBidi"/>
          <w:color w:val="000000"/>
          <w:szCs w:val="22"/>
          <w:u w:color="FFFFFF"/>
        </w:rPr>
        <w:t xml:space="preserve">die </w:t>
      </w:r>
      <w:r w:rsidRPr="00D21D8C">
        <w:rPr>
          <w:rFonts w:asciiTheme="majorBidi" w:hAnsiTheme="majorBidi" w:cstheme="majorBidi"/>
          <w:color w:val="000000"/>
          <w:szCs w:val="22"/>
          <w:u w:color="FFFFFF"/>
        </w:rPr>
        <w:t>ervaring</w:t>
      </w:r>
      <w:r w:rsidR="00145BAE" w:rsidRPr="00D21D8C">
        <w:rPr>
          <w:rFonts w:asciiTheme="majorBidi" w:hAnsiTheme="majorBidi" w:cstheme="majorBidi"/>
          <w:color w:val="000000"/>
          <w:szCs w:val="22"/>
          <w:u w:color="FFFFFF"/>
        </w:rPr>
        <w:t xml:space="preserve"> hebben met</w:t>
      </w:r>
      <w:r w:rsidRPr="00D21D8C">
        <w:rPr>
          <w:rFonts w:asciiTheme="majorBidi" w:hAnsiTheme="majorBidi" w:cstheme="majorBidi"/>
          <w:color w:val="000000"/>
          <w:szCs w:val="22"/>
          <w:u w:color="FFFFFF"/>
        </w:rPr>
        <w:t xml:space="preserve"> het gebruik van kanker</w:t>
      </w:r>
      <w:r w:rsidR="00145BAE" w:rsidRPr="00D21D8C">
        <w:rPr>
          <w:rFonts w:asciiTheme="majorBidi" w:hAnsiTheme="majorBidi" w:cstheme="majorBidi"/>
          <w:color w:val="000000"/>
          <w:szCs w:val="22"/>
          <w:u w:color="FFFFFF"/>
        </w:rPr>
        <w:t>therapieën</w:t>
      </w:r>
      <w:r w:rsidRPr="00D21D8C">
        <w:rPr>
          <w:rFonts w:asciiTheme="majorBidi" w:hAnsiTheme="majorBidi" w:cstheme="majorBidi"/>
          <w:color w:val="000000"/>
          <w:szCs w:val="22"/>
          <w:u w:color="FFFFFF"/>
        </w:rPr>
        <w:t>.</w:t>
      </w:r>
    </w:p>
    <w:p w14:paraId="2B5B62D7" w14:textId="77777777" w:rsidR="001A274F" w:rsidRPr="00D21D8C" w:rsidRDefault="001A274F">
      <w:pPr>
        <w:spacing w:line="240" w:lineRule="auto"/>
        <w:rPr>
          <w:rFonts w:asciiTheme="majorBidi" w:hAnsiTheme="majorBidi" w:cstheme="majorBidi"/>
          <w:szCs w:val="22"/>
        </w:rPr>
      </w:pPr>
    </w:p>
    <w:p w14:paraId="6BEB9131" w14:textId="77777777"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val="single" w:color="000000"/>
        </w:rPr>
        <w:t>Dosering</w:t>
      </w:r>
    </w:p>
    <w:p w14:paraId="472E02C1" w14:textId="77777777" w:rsidR="001A274F" w:rsidRPr="00D21D8C" w:rsidRDefault="001A274F">
      <w:pPr>
        <w:keepNext/>
        <w:spacing w:line="240" w:lineRule="auto"/>
        <w:rPr>
          <w:rFonts w:asciiTheme="majorBidi" w:hAnsiTheme="majorBidi" w:cstheme="majorBidi"/>
          <w:szCs w:val="22"/>
        </w:rPr>
      </w:pPr>
    </w:p>
    <w:p w14:paraId="4B2C8CFD" w14:textId="5F832D07"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color="FFFFFF"/>
        </w:rPr>
        <w:t>De aanbevolen dosering is 200 mg pirtobrutinib eenmaal daags.</w:t>
      </w:r>
    </w:p>
    <w:p w14:paraId="0729AED0" w14:textId="77777777" w:rsidR="001A274F" w:rsidRPr="00D21D8C" w:rsidRDefault="001A274F">
      <w:pPr>
        <w:spacing w:line="240" w:lineRule="auto"/>
        <w:rPr>
          <w:rFonts w:asciiTheme="majorBidi" w:hAnsiTheme="majorBidi" w:cstheme="majorBidi"/>
          <w:szCs w:val="22"/>
        </w:rPr>
      </w:pPr>
    </w:p>
    <w:p w14:paraId="060EF624" w14:textId="0943F3D6" w:rsidR="00A72D56" w:rsidRPr="00D21D8C" w:rsidRDefault="00A72D56" w:rsidP="00A72D56">
      <w:pPr>
        <w:spacing w:line="240" w:lineRule="auto"/>
        <w:rPr>
          <w:rFonts w:asciiTheme="majorBidi" w:hAnsiTheme="majorBidi" w:cstheme="majorBidi"/>
          <w:color w:val="000000"/>
          <w:szCs w:val="22"/>
          <w:u w:color="FFFFFF"/>
        </w:rPr>
      </w:pPr>
      <w:r w:rsidRPr="00D21D8C">
        <w:rPr>
          <w:rFonts w:asciiTheme="majorBidi" w:hAnsiTheme="majorBidi" w:cstheme="majorBidi"/>
          <w:color w:val="000000"/>
          <w:szCs w:val="22"/>
          <w:u w:color="FFFFFF"/>
        </w:rPr>
        <w:t xml:space="preserve">De toediening van Jaypirca moet worden onderbroken tot herstel naar graad 1 of de uitgangswaarde wanneer de patiënt </w:t>
      </w:r>
      <w:r w:rsidR="00AB5D34" w:rsidRPr="00D21D8C">
        <w:rPr>
          <w:rFonts w:asciiTheme="majorBidi" w:hAnsiTheme="majorBidi" w:cstheme="majorBidi"/>
          <w:color w:val="000000"/>
          <w:szCs w:val="22"/>
          <w:u w:color="FFFFFF"/>
        </w:rPr>
        <w:t xml:space="preserve">een van de </w:t>
      </w:r>
      <w:r w:rsidRPr="00D21D8C">
        <w:rPr>
          <w:rFonts w:asciiTheme="majorBidi" w:hAnsiTheme="majorBidi" w:cstheme="majorBidi"/>
          <w:color w:val="000000"/>
          <w:szCs w:val="22"/>
          <w:u w:color="FFFFFF"/>
        </w:rPr>
        <w:t>volgende voorval</w:t>
      </w:r>
      <w:r w:rsidR="00AB5D34" w:rsidRPr="00D21D8C">
        <w:rPr>
          <w:rFonts w:asciiTheme="majorBidi" w:hAnsiTheme="majorBidi" w:cstheme="majorBidi"/>
          <w:color w:val="000000"/>
          <w:szCs w:val="22"/>
          <w:u w:color="FFFFFF"/>
        </w:rPr>
        <w:t>len</w:t>
      </w:r>
      <w:r w:rsidRPr="00D21D8C">
        <w:rPr>
          <w:rFonts w:asciiTheme="majorBidi" w:hAnsiTheme="majorBidi" w:cstheme="majorBidi"/>
          <w:color w:val="000000"/>
          <w:szCs w:val="22"/>
          <w:u w:color="FFFFFF"/>
        </w:rPr>
        <w:t xml:space="preserve"> ervaart:</w:t>
      </w:r>
    </w:p>
    <w:p w14:paraId="07057608" w14:textId="5DF88AC6" w:rsidR="00A72D56" w:rsidRPr="00D21D8C" w:rsidRDefault="00A72D56" w:rsidP="00C32D00">
      <w:pPr>
        <w:pStyle w:val="Lijstalinea"/>
        <w:numPr>
          <w:ilvl w:val="0"/>
          <w:numId w:val="19"/>
        </w:numPr>
        <w:spacing w:line="240" w:lineRule="auto"/>
        <w:rPr>
          <w:rFonts w:asciiTheme="majorBidi" w:hAnsiTheme="majorBidi" w:cstheme="majorBidi"/>
          <w:color w:val="000000"/>
          <w:szCs w:val="22"/>
          <w:u w:color="FFFFFF"/>
        </w:rPr>
      </w:pPr>
      <w:r w:rsidRPr="00D21D8C">
        <w:rPr>
          <w:rFonts w:asciiTheme="majorBidi" w:hAnsiTheme="majorBidi" w:cstheme="majorBidi"/>
          <w:color w:val="000000"/>
          <w:szCs w:val="22"/>
          <w:u w:color="FFFFFF"/>
        </w:rPr>
        <w:t xml:space="preserve">neutropenie </w:t>
      </w:r>
      <w:r w:rsidR="00AB5D34" w:rsidRPr="00D21D8C">
        <w:rPr>
          <w:rFonts w:asciiTheme="majorBidi" w:hAnsiTheme="majorBidi" w:cstheme="majorBidi"/>
          <w:color w:val="000000"/>
          <w:szCs w:val="22"/>
          <w:u w:color="FFFFFF"/>
        </w:rPr>
        <w:t xml:space="preserve">graad 3 </w:t>
      </w:r>
      <w:r w:rsidRPr="00D21D8C">
        <w:rPr>
          <w:rFonts w:asciiTheme="majorBidi" w:hAnsiTheme="majorBidi" w:cstheme="majorBidi"/>
          <w:color w:val="000000"/>
          <w:szCs w:val="22"/>
          <w:u w:color="FFFFFF"/>
        </w:rPr>
        <w:t>met koorts en/of infectie</w:t>
      </w:r>
    </w:p>
    <w:p w14:paraId="778DD829" w14:textId="0538C40D" w:rsidR="00A72D56" w:rsidRPr="00D21D8C" w:rsidRDefault="00A72D56" w:rsidP="00C32D00">
      <w:pPr>
        <w:pStyle w:val="Lijstalinea"/>
        <w:numPr>
          <w:ilvl w:val="0"/>
          <w:numId w:val="19"/>
        </w:numPr>
        <w:spacing w:line="240" w:lineRule="auto"/>
        <w:rPr>
          <w:rFonts w:asciiTheme="majorBidi" w:hAnsiTheme="majorBidi" w:cstheme="majorBidi"/>
          <w:color w:val="000000"/>
          <w:szCs w:val="22"/>
          <w:u w:color="FFFFFF"/>
        </w:rPr>
      </w:pPr>
      <w:r w:rsidRPr="00D21D8C">
        <w:rPr>
          <w:rFonts w:asciiTheme="majorBidi" w:hAnsiTheme="majorBidi" w:cstheme="majorBidi"/>
          <w:color w:val="000000"/>
          <w:szCs w:val="22"/>
          <w:u w:color="FFFFFF"/>
        </w:rPr>
        <w:t xml:space="preserve">neutropenie </w:t>
      </w:r>
      <w:r w:rsidR="00AB5D34" w:rsidRPr="00D21D8C">
        <w:rPr>
          <w:rFonts w:asciiTheme="majorBidi" w:hAnsiTheme="majorBidi" w:cstheme="majorBidi"/>
          <w:color w:val="000000"/>
          <w:szCs w:val="22"/>
          <w:u w:color="FFFFFF"/>
        </w:rPr>
        <w:t xml:space="preserve">graad 4 </w:t>
      </w:r>
      <w:r w:rsidRPr="00D21D8C">
        <w:rPr>
          <w:rFonts w:asciiTheme="majorBidi" w:hAnsiTheme="majorBidi" w:cstheme="majorBidi"/>
          <w:color w:val="000000"/>
          <w:szCs w:val="22"/>
          <w:u w:color="FFFFFF"/>
        </w:rPr>
        <w:t>die ≥ 7 dagen duurt</w:t>
      </w:r>
    </w:p>
    <w:p w14:paraId="17AA9322" w14:textId="5D25079C" w:rsidR="00A72D56" w:rsidRPr="00D21D8C" w:rsidRDefault="00A72D56" w:rsidP="00C32D00">
      <w:pPr>
        <w:pStyle w:val="Lijstalinea"/>
        <w:numPr>
          <w:ilvl w:val="0"/>
          <w:numId w:val="19"/>
        </w:numPr>
        <w:spacing w:line="240" w:lineRule="auto"/>
        <w:rPr>
          <w:rFonts w:asciiTheme="majorBidi" w:hAnsiTheme="majorBidi" w:cstheme="majorBidi"/>
          <w:color w:val="000000"/>
          <w:szCs w:val="22"/>
          <w:u w:color="FFFFFF"/>
        </w:rPr>
      </w:pPr>
      <w:r w:rsidRPr="00D21D8C">
        <w:rPr>
          <w:rFonts w:asciiTheme="majorBidi" w:hAnsiTheme="majorBidi" w:cstheme="majorBidi"/>
          <w:color w:val="000000"/>
          <w:szCs w:val="22"/>
          <w:u w:color="FFFFFF"/>
        </w:rPr>
        <w:t xml:space="preserve">trombocytopenie </w:t>
      </w:r>
      <w:r w:rsidR="00AB5D34" w:rsidRPr="00D21D8C">
        <w:rPr>
          <w:rFonts w:asciiTheme="majorBidi" w:hAnsiTheme="majorBidi" w:cstheme="majorBidi"/>
          <w:color w:val="000000"/>
          <w:szCs w:val="22"/>
          <w:u w:color="FFFFFF"/>
        </w:rPr>
        <w:t xml:space="preserve">graad 3 </w:t>
      </w:r>
      <w:r w:rsidRPr="00D21D8C">
        <w:rPr>
          <w:rFonts w:asciiTheme="majorBidi" w:hAnsiTheme="majorBidi" w:cstheme="majorBidi"/>
          <w:color w:val="000000"/>
          <w:szCs w:val="22"/>
          <w:u w:color="FFFFFF"/>
        </w:rPr>
        <w:t>met bloedingen</w:t>
      </w:r>
    </w:p>
    <w:p w14:paraId="05DB4B1C" w14:textId="08B00970" w:rsidR="00A72D56" w:rsidRPr="00D21D8C" w:rsidRDefault="00A72D56" w:rsidP="00C32D00">
      <w:pPr>
        <w:pStyle w:val="Lijstalinea"/>
        <w:numPr>
          <w:ilvl w:val="0"/>
          <w:numId w:val="19"/>
        </w:numPr>
        <w:spacing w:line="240" w:lineRule="auto"/>
        <w:rPr>
          <w:rFonts w:asciiTheme="majorBidi" w:hAnsiTheme="majorBidi" w:cstheme="majorBidi"/>
          <w:color w:val="000000"/>
          <w:szCs w:val="22"/>
          <w:u w:color="FFFFFF"/>
        </w:rPr>
      </w:pPr>
      <w:r w:rsidRPr="00D21D8C">
        <w:rPr>
          <w:rFonts w:asciiTheme="majorBidi" w:hAnsiTheme="majorBidi" w:cstheme="majorBidi"/>
          <w:color w:val="000000"/>
          <w:szCs w:val="22"/>
          <w:u w:color="FFFFFF"/>
        </w:rPr>
        <w:t>trombocytopenie</w:t>
      </w:r>
      <w:r w:rsidR="00AB5D34" w:rsidRPr="00D21D8C">
        <w:rPr>
          <w:rFonts w:asciiTheme="majorBidi" w:hAnsiTheme="majorBidi" w:cstheme="majorBidi"/>
          <w:color w:val="000000"/>
          <w:szCs w:val="22"/>
          <w:u w:color="FFFFFF"/>
        </w:rPr>
        <w:t xml:space="preserve"> graad 4</w:t>
      </w:r>
    </w:p>
    <w:p w14:paraId="6524206D" w14:textId="56B6A6CA" w:rsidR="001A274F" w:rsidRPr="00D21D8C" w:rsidRDefault="00A72D56" w:rsidP="00C32D00">
      <w:pPr>
        <w:pStyle w:val="Lijstalinea"/>
        <w:numPr>
          <w:ilvl w:val="0"/>
          <w:numId w:val="19"/>
        </w:numPr>
        <w:spacing w:line="240" w:lineRule="auto"/>
        <w:rPr>
          <w:rFonts w:asciiTheme="majorBidi" w:hAnsiTheme="majorBidi" w:cstheme="majorBidi"/>
          <w:szCs w:val="22"/>
        </w:rPr>
      </w:pPr>
      <w:r w:rsidRPr="00D21D8C">
        <w:rPr>
          <w:rFonts w:asciiTheme="majorBidi" w:hAnsiTheme="majorBidi" w:cstheme="majorBidi"/>
          <w:color w:val="000000"/>
          <w:szCs w:val="22"/>
          <w:u w:color="FFFFFF"/>
        </w:rPr>
        <w:t>niet-hematologische toxiciteiten</w:t>
      </w:r>
      <w:r w:rsidR="00AB5D34" w:rsidRPr="00D21D8C">
        <w:rPr>
          <w:rFonts w:asciiTheme="majorBidi" w:hAnsiTheme="majorBidi" w:cstheme="majorBidi"/>
          <w:color w:val="000000"/>
          <w:szCs w:val="22"/>
          <w:u w:color="FFFFFF"/>
        </w:rPr>
        <w:t xml:space="preserve"> graad 3 of 4</w:t>
      </w:r>
    </w:p>
    <w:p w14:paraId="35FCDEA6" w14:textId="3A6B9939" w:rsidR="001A274F" w:rsidRPr="00D21D8C" w:rsidRDefault="001A274F">
      <w:pPr>
        <w:spacing w:line="240" w:lineRule="auto"/>
        <w:rPr>
          <w:rFonts w:asciiTheme="majorBidi" w:hAnsiTheme="majorBidi" w:cstheme="majorBidi"/>
          <w:szCs w:val="22"/>
        </w:rPr>
      </w:pPr>
    </w:p>
    <w:p w14:paraId="2602E0A3" w14:textId="635AF30A" w:rsidR="00A72D56" w:rsidRPr="00D21D8C" w:rsidRDefault="00A72D56" w:rsidP="00A72D56">
      <w:pPr>
        <w:spacing w:line="240" w:lineRule="auto"/>
        <w:rPr>
          <w:rFonts w:asciiTheme="majorBidi" w:hAnsiTheme="majorBidi" w:cstheme="majorBidi"/>
          <w:szCs w:val="22"/>
        </w:rPr>
      </w:pPr>
      <w:r w:rsidRPr="00D21D8C">
        <w:rPr>
          <w:rFonts w:asciiTheme="majorBidi" w:hAnsiTheme="majorBidi" w:cstheme="majorBidi"/>
          <w:szCs w:val="22"/>
        </w:rPr>
        <w:t>Asymptomatische lymfocytose wordt niet beschouwd als een bijwerking en patiënten die deze bijwerking ervaren, dienen het gebruik van Jaypirca voort te zetten.</w:t>
      </w:r>
    </w:p>
    <w:p w14:paraId="5770A1F5" w14:textId="77777777" w:rsidR="00A72D56" w:rsidRPr="00D21D8C" w:rsidRDefault="00A72D56" w:rsidP="00A72D56">
      <w:pPr>
        <w:spacing w:line="240" w:lineRule="auto"/>
        <w:rPr>
          <w:rFonts w:asciiTheme="majorBidi" w:hAnsiTheme="majorBidi" w:cstheme="majorBidi"/>
          <w:szCs w:val="22"/>
        </w:rPr>
      </w:pPr>
    </w:p>
    <w:p w14:paraId="4CE1E551" w14:textId="6F7C852D" w:rsidR="00A72D56" w:rsidRPr="00D21D8C" w:rsidRDefault="00A72D56" w:rsidP="00A72D56">
      <w:pPr>
        <w:spacing w:line="240" w:lineRule="auto"/>
        <w:rPr>
          <w:rFonts w:asciiTheme="majorBidi" w:hAnsiTheme="majorBidi" w:cstheme="majorBidi"/>
          <w:szCs w:val="22"/>
        </w:rPr>
      </w:pPr>
      <w:r w:rsidRPr="00D21D8C">
        <w:rPr>
          <w:rFonts w:asciiTheme="majorBidi" w:hAnsiTheme="majorBidi" w:cstheme="majorBidi"/>
          <w:szCs w:val="22"/>
        </w:rPr>
        <w:t xml:space="preserve">In </w:t>
      </w:r>
      <w:r w:rsidR="00766308" w:rsidRPr="00D21D8C">
        <w:rPr>
          <w:rFonts w:asciiTheme="majorBidi" w:hAnsiTheme="majorBidi" w:cstheme="majorBidi"/>
          <w:szCs w:val="22"/>
        </w:rPr>
        <w:t xml:space="preserve">de </w:t>
      </w:r>
      <w:r w:rsidRPr="00D21D8C">
        <w:rPr>
          <w:rFonts w:asciiTheme="majorBidi" w:hAnsiTheme="majorBidi" w:cstheme="majorBidi"/>
          <w:szCs w:val="22"/>
        </w:rPr>
        <w:t>klinische onderzoek</w:t>
      </w:r>
      <w:r w:rsidR="00A8619C" w:rsidRPr="00D21D8C">
        <w:rPr>
          <w:rFonts w:asciiTheme="majorBidi" w:hAnsiTheme="majorBidi" w:cstheme="majorBidi"/>
          <w:szCs w:val="22"/>
        </w:rPr>
        <w:t>en</w:t>
      </w:r>
      <w:r w:rsidRPr="00D21D8C">
        <w:rPr>
          <w:rFonts w:asciiTheme="majorBidi" w:hAnsiTheme="majorBidi" w:cstheme="majorBidi"/>
          <w:szCs w:val="22"/>
        </w:rPr>
        <w:t xml:space="preserve"> werden bijwerkingen bij een beperkt aantal patiënten behandeld door dosisverlaging (zie rubriek 5.1).</w:t>
      </w:r>
    </w:p>
    <w:p w14:paraId="602A1763" w14:textId="77777777" w:rsidR="00A72D56" w:rsidRPr="00D21D8C" w:rsidRDefault="00A72D56" w:rsidP="00A72D56">
      <w:pPr>
        <w:spacing w:line="240" w:lineRule="auto"/>
        <w:rPr>
          <w:rFonts w:asciiTheme="majorBidi" w:hAnsiTheme="majorBidi" w:cstheme="majorBidi"/>
          <w:color w:val="000000"/>
          <w:szCs w:val="22"/>
          <w:u w:color="FFFFFF"/>
        </w:rPr>
      </w:pPr>
    </w:p>
    <w:p w14:paraId="54E1AEB7" w14:textId="6B067B6B" w:rsidR="00A72D56" w:rsidRPr="00D21D8C" w:rsidRDefault="00A72D56" w:rsidP="00A72D56">
      <w:pPr>
        <w:spacing w:line="240" w:lineRule="auto"/>
        <w:rPr>
          <w:rFonts w:asciiTheme="majorBidi" w:hAnsiTheme="majorBidi" w:cstheme="majorBidi"/>
          <w:szCs w:val="22"/>
        </w:rPr>
      </w:pPr>
      <w:r w:rsidRPr="00D21D8C">
        <w:rPr>
          <w:rFonts w:asciiTheme="majorBidi" w:hAnsiTheme="majorBidi" w:cstheme="majorBidi"/>
          <w:color w:val="000000"/>
          <w:szCs w:val="22"/>
          <w:u w:color="FFFFFF"/>
        </w:rPr>
        <w:t>De behandeling moet worden voortgezet tot</w:t>
      </w:r>
      <w:r w:rsidR="0034182B" w:rsidRPr="00D21D8C">
        <w:rPr>
          <w:rFonts w:asciiTheme="majorBidi" w:hAnsiTheme="majorBidi" w:cstheme="majorBidi"/>
          <w:color w:val="000000"/>
          <w:szCs w:val="22"/>
          <w:u w:color="FFFFFF"/>
        </w:rPr>
        <w:t>dat er</w:t>
      </w:r>
      <w:r w:rsidRPr="00D21D8C">
        <w:rPr>
          <w:rFonts w:asciiTheme="majorBidi" w:hAnsiTheme="majorBidi" w:cstheme="majorBidi"/>
          <w:color w:val="000000"/>
          <w:szCs w:val="22"/>
          <w:u w:color="FFFFFF"/>
        </w:rPr>
        <w:t xml:space="preserve"> ziekteprogressie of onaanvaardbare toxiciteit</w:t>
      </w:r>
      <w:r w:rsidR="0034182B" w:rsidRPr="00D21D8C">
        <w:rPr>
          <w:rFonts w:asciiTheme="majorBidi" w:hAnsiTheme="majorBidi" w:cstheme="majorBidi"/>
          <w:color w:val="000000"/>
          <w:szCs w:val="22"/>
          <w:u w:color="FFFFFF"/>
        </w:rPr>
        <w:t xml:space="preserve"> is</w:t>
      </w:r>
      <w:r w:rsidRPr="00D21D8C">
        <w:rPr>
          <w:rFonts w:asciiTheme="majorBidi" w:hAnsiTheme="majorBidi" w:cstheme="majorBidi"/>
          <w:color w:val="000000"/>
          <w:szCs w:val="22"/>
          <w:u w:color="FFFFFF"/>
        </w:rPr>
        <w:t>.</w:t>
      </w:r>
    </w:p>
    <w:p w14:paraId="1B05D264" w14:textId="77777777" w:rsidR="001A274F" w:rsidRPr="00D21D8C" w:rsidRDefault="001A274F">
      <w:pPr>
        <w:spacing w:line="240" w:lineRule="auto"/>
        <w:rPr>
          <w:rFonts w:asciiTheme="majorBidi" w:hAnsiTheme="majorBidi" w:cstheme="majorBidi"/>
          <w:szCs w:val="22"/>
        </w:rPr>
      </w:pPr>
    </w:p>
    <w:p w14:paraId="4964F8FB" w14:textId="77777777" w:rsidR="001A274F" w:rsidRPr="00D21D8C" w:rsidRDefault="00DA418A">
      <w:pPr>
        <w:keepNext/>
        <w:spacing w:line="240" w:lineRule="auto"/>
        <w:rPr>
          <w:rFonts w:asciiTheme="majorBidi" w:hAnsiTheme="majorBidi" w:cstheme="majorBidi"/>
          <w:i/>
          <w:szCs w:val="22"/>
          <w:u w:val="single"/>
        </w:rPr>
      </w:pPr>
      <w:r w:rsidRPr="00D21D8C">
        <w:rPr>
          <w:rFonts w:asciiTheme="majorBidi" w:hAnsiTheme="majorBidi" w:cstheme="majorBidi"/>
          <w:i/>
          <w:iCs/>
          <w:color w:val="000000"/>
          <w:szCs w:val="22"/>
          <w:u w:color="FFFFFF"/>
        </w:rPr>
        <w:t>Gemiste dosis</w:t>
      </w:r>
    </w:p>
    <w:p w14:paraId="41B086EE" w14:textId="4181D0EC"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color="FFFFFF"/>
        </w:rPr>
        <w:t xml:space="preserve">Als er meer dan 12 uur </w:t>
      </w:r>
      <w:r w:rsidR="00145BAE" w:rsidRPr="00D21D8C">
        <w:rPr>
          <w:rFonts w:asciiTheme="majorBidi" w:hAnsiTheme="majorBidi" w:cstheme="majorBidi"/>
          <w:color w:val="000000"/>
          <w:szCs w:val="22"/>
          <w:u w:color="FFFFFF"/>
        </w:rPr>
        <w:t xml:space="preserve">zijn </w:t>
      </w:r>
      <w:r w:rsidRPr="00D21D8C">
        <w:rPr>
          <w:rFonts w:asciiTheme="majorBidi" w:hAnsiTheme="majorBidi" w:cstheme="majorBidi"/>
          <w:color w:val="000000"/>
          <w:szCs w:val="22"/>
          <w:u w:color="FFFFFF"/>
        </w:rPr>
        <w:t>verstreken na</w:t>
      </w:r>
      <w:r w:rsidR="00145BAE" w:rsidRPr="00D21D8C">
        <w:rPr>
          <w:rFonts w:asciiTheme="majorBidi" w:hAnsiTheme="majorBidi" w:cstheme="majorBidi"/>
          <w:color w:val="000000"/>
          <w:szCs w:val="22"/>
          <w:u w:color="FFFFFF"/>
        </w:rPr>
        <w:t>dat een patiënt</w:t>
      </w:r>
      <w:r w:rsidRPr="00D21D8C">
        <w:rPr>
          <w:rFonts w:asciiTheme="majorBidi" w:hAnsiTheme="majorBidi" w:cstheme="majorBidi"/>
          <w:color w:val="000000"/>
          <w:szCs w:val="22"/>
          <w:u w:color="FFFFFF"/>
        </w:rPr>
        <w:t xml:space="preserve"> een dosis</w:t>
      </w:r>
      <w:r w:rsidR="00145BAE" w:rsidRPr="00D21D8C">
        <w:rPr>
          <w:rFonts w:asciiTheme="majorBidi" w:hAnsiTheme="majorBidi" w:cstheme="majorBidi"/>
          <w:color w:val="000000"/>
          <w:szCs w:val="22"/>
          <w:u w:color="FFFFFF"/>
        </w:rPr>
        <w:t xml:space="preserve"> heeft gemist</w:t>
      </w:r>
      <w:r w:rsidRPr="00D21D8C">
        <w:rPr>
          <w:rFonts w:asciiTheme="majorBidi" w:hAnsiTheme="majorBidi" w:cstheme="majorBidi"/>
          <w:color w:val="000000"/>
          <w:szCs w:val="22"/>
          <w:u w:color="FFFFFF"/>
        </w:rPr>
        <w:t xml:space="preserve">, </w:t>
      </w:r>
      <w:r w:rsidR="00A72D56" w:rsidRPr="00D21D8C">
        <w:rPr>
          <w:rFonts w:asciiTheme="majorBidi" w:hAnsiTheme="majorBidi" w:cstheme="majorBidi"/>
          <w:color w:val="000000"/>
          <w:szCs w:val="22"/>
          <w:u w:color="FFFFFF"/>
        </w:rPr>
        <w:t xml:space="preserve">dient </w:t>
      </w:r>
      <w:r w:rsidRPr="00D21D8C">
        <w:rPr>
          <w:rFonts w:asciiTheme="majorBidi" w:hAnsiTheme="majorBidi" w:cstheme="majorBidi"/>
          <w:color w:val="000000"/>
          <w:szCs w:val="22"/>
          <w:u w:color="FFFFFF"/>
        </w:rPr>
        <w:t xml:space="preserve">de patiënt </w:t>
      </w:r>
      <w:r w:rsidR="00A72D56" w:rsidRPr="00D21D8C">
        <w:rPr>
          <w:rFonts w:asciiTheme="majorBidi" w:hAnsiTheme="majorBidi" w:cstheme="majorBidi"/>
          <w:color w:val="000000"/>
          <w:szCs w:val="22"/>
          <w:u w:color="FFFFFF"/>
        </w:rPr>
        <w:t xml:space="preserve">geïnstrueerd te worden </w:t>
      </w:r>
      <w:r w:rsidR="00145BAE" w:rsidRPr="00D21D8C">
        <w:rPr>
          <w:rFonts w:asciiTheme="majorBidi" w:hAnsiTheme="majorBidi" w:cstheme="majorBidi"/>
          <w:color w:val="000000"/>
          <w:szCs w:val="22"/>
          <w:u w:color="FFFFFF"/>
        </w:rPr>
        <w:t xml:space="preserve">om </w:t>
      </w:r>
      <w:r w:rsidRPr="00D21D8C">
        <w:rPr>
          <w:rFonts w:asciiTheme="majorBidi" w:hAnsiTheme="majorBidi" w:cstheme="majorBidi"/>
          <w:color w:val="000000"/>
          <w:szCs w:val="22"/>
          <w:u w:color="FFFFFF"/>
        </w:rPr>
        <w:t xml:space="preserve">de volgende dosis op het geplande tijdstip in te nemen; een extra dosis </w:t>
      </w:r>
      <w:r w:rsidR="007F6B56" w:rsidRPr="00D21D8C">
        <w:rPr>
          <w:rFonts w:asciiTheme="majorBidi" w:hAnsiTheme="majorBidi" w:cstheme="majorBidi"/>
          <w:color w:val="000000"/>
          <w:szCs w:val="22"/>
          <w:u w:color="FFFFFF"/>
        </w:rPr>
        <w:t xml:space="preserve">moet </w:t>
      </w:r>
      <w:r w:rsidRPr="00D21D8C">
        <w:rPr>
          <w:rFonts w:asciiTheme="majorBidi" w:hAnsiTheme="majorBidi" w:cstheme="majorBidi"/>
          <w:color w:val="000000"/>
          <w:szCs w:val="22"/>
          <w:u w:color="FFFFFF"/>
        </w:rPr>
        <w:t xml:space="preserve">niet worden </w:t>
      </w:r>
      <w:r w:rsidR="009A237D" w:rsidRPr="00D21D8C">
        <w:rPr>
          <w:rFonts w:asciiTheme="majorBidi" w:hAnsiTheme="majorBidi" w:cstheme="majorBidi"/>
          <w:color w:val="000000"/>
          <w:szCs w:val="22"/>
          <w:u w:color="FFFFFF"/>
        </w:rPr>
        <w:t>in</w:t>
      </w:r>
      <w:r w:rsidRPr="00D21D8C">
        <w:rPr>
          <w:rFonts w:asciiTheme="majorBidi" w:hAnsiTheme="majorBidi" w:cstheme="majorBidi"/>
          <w:color w:val="000000"/>
          <w:szCs w:val="22"/>
          <w:u w:color="FFFFFF"/>
        </w:rPr>
        <w:t>genomen. In geval van braken</w:t>
      </w:r>
      <w:r w:rsidR="00145BAE" w:rsidRPr="00D21D8C">
        <w:rPr>
          <w:rFonts w:asciiTheme="majorBidi" w:hAnsiTheme="majorBidi" w:cstheme="majorBidi"/>
          <w:color w:val="000000"/>
          <w:szCs w:val="22"/>
          <w:u w:color="FFFFFF"/>
        </w:rPr>
        <w:t xml:space="preserve">, </w:t>
      </w:r>
      <w:r w:rsidR="00A72D56" w:rsidRPr="00D21D8C">
        <w:rPr>
          <w:rFonts w:asciiTheme="majorBidi" w:hAnsiTheme="majorBidi" w:cstheme="majorBidi"/>
          <w:color w:val="000000"/>
          <w:szCs w:val="22"/>
          <w:u w:color="FFFFFF"/>
        </w:rPr>
        <w:t xml:space="preserve">dient de patiënt </w:t>
      </w:r>
      <w:r w:rsidRPr="00D21D8C">
        <w:rPr>
          <w:rFonts w:asciiTheme="majorBidi" w:hAnsiTheme="majorBidi" w:cstheme="majorBidi"/>
          <w:color w:val="000000"/>
          <w:szCs w:val="22"/>
          <w:u w:color="FFFFFF"/>
        </w:rPr>
        <w:t>geen extra dosis</w:t>
      </w:r>
      <w:r w:rsidR="00252E96" w:rsidRPr="00D21D8C">
        <w:rPr>
          <w:rFonts w:asciiTheme="majorBidi" w:hAnsiTheme="majorBidi" w:cstheme="majorBidi"/>
          <w:color w:val="000000"/>
          <w:szCs w:val="22"/>
          <w:u w:color="FFFFFF"/>
        </w:rPr>
        <w:t xml:space="preserve"> in</w:t>
      </w:r>
      <w:r w:rsidR="00A72D56" w:rsidRPr="00D21D8C">
        <w:rPr>
          <w:rFonts w:asciiTheme="majorBidi" w:hAnsiTheme="majorBidi" w:cstheme="majorBidi"/>
          <w:color w:val="000000"/>
          <w:szCs w:val="22"/>
          <w:u w:color="FFFFFF"/>
        </w:rPr>
        <w:t xml:space="preserve"> te nemen</w:t>
      </w:r>
      <w:r w:rsidR="009A237D" w:rsidRPr="00D21D8C">
        <w:rPr>
          <w:rFonts w:asciiTheme="majorBidi" w:hAnsiTheme="majorBidi" w:cstheme="majorBidi"/>
          <w:color w:val="000000"/>
          <w:szCs w:val="22"/>
          <w:u w:color="FFFFFF"/>
        </w:rPr>
        <w:t>,</w:t>
      </w:r>
      <w:r w:rsidRPr="00D21D8C">
        <w:rPr>
          <w:rFonts w:asciiTheme="majorBidi" w:hAnsiTheme="majorBidi" w:cstheme="majorBidi"/>
          <w:color w:val="000000"/>
          <w:szCs w:val="22"/>
          <w:u w:color="FFFFFF"/>
        </w:rPr>
        <w:t xml:space="preserve"> maar </w:t>
      </w:r>
      <w:r w:rsidR="007F6B56" w:rsidRPr="00D21D8C">
        <w:rPr>
          <w:rFonts w:asciiTheme="majorBidi" w:hAnsiTheme="majorBidi" w:cstheme="majorBidi"/>
          <w:color w:val="000000"/>
          <w:szCs w:val="22"/>
          <w:u w:color="FFFFFF"/>
        </w:rPr>
        <w:t xml:space="preserve">door </w:t>
      </w:r>
      <w:r w:rsidR="00A72D56" w:rsidRPr="00D21D8C">
        <w:rPr>
          <w:rFonts w:asciiTheme="majorBidi" w:hAnsiTheme="majorBidi" w:cstheme="majorBidi"/>
          <w:color w:val="000000"/>
          <w:szCs w:val="22"/>
          <w:u w:color="FFFFFF"/>
        </w:rPr>
        <w:t xml:space="preserve">te gaan </w:t>
      </w:r>
      <w:r w:rsidR="008C06BD" w:rsidRPr="00D21D8C">
        <w:rPr>
          <w:rFonts w:asciiTheme="majorBidi" w:hAnsiTheme="majorBidi" w:cstheme="majorBidi"/>
          <w:color w:val="000000"/>
          <w:szCs w:val="22"/>
          <w:u w:color="FFFFFF"/>
        </w:rPr>
        <w:t>met</w:t>
      </w:r>
      <w:r w:rsidR="007F6B56" w:rsidRPr="00D21D8C">
        <w:rPr>
          <w:rFonts w:asciiTheme="majorBidi" w:hAnsiTheme="majorBidi" w:cstheme="majorBidi"/>
          <w:color w:val="000000"/>
          <w:szCs w:val="22"/>
          <w:u w:color="FFFFFF"/>
        </w:rPr>
        <w:t xml:space="preserve"> het </w:t>
      </w:r>
      <w:r w:rsidRPr="00D21D8C">
        <w:rPr>
          <w:rFonts w:asciiTheme="majorBidi" w:hAnsiTheme="majorBidi" w:cstheme="majorBidi"/>
          <w:color w:val="000000"/>
          <w:szCs w:val="22"/>
          <w:u w:color="FFFFFF"/>
        </w:rPr>
        <w:t xml:space="preserve">volgende geplande </w:t>
      </w:r>
      <w:r w:rsidR="007F6B56" w:rsidRPr="00D21D8C">
        <w:rPr>
          <w:rFonts w:asciiTheme="majorBidi" w:hAnsiTheme="majorBidi" w:cstheme="majorBidi"/>
          <w:color w:val="000000"/>
          <w:szCs w:val="22"/>
          <w:u w:color="FFFFFF"/>
        </w:rPr>
        <w:t>innamemoment.</w:t>
      </w:r>
    </w:p>
    <w:p w14:paraId="2C3538D2" w14:textId="77777777" w:rsidR="001A274F" w:rsidRPr="00D21D8C" w:rsidRDefault="001A274F">
      <w:pPr>
        <w:spacing w:line="240" w:lineRule="auto"/>
        <w:rPr>
          <w:rFonts w:asciiTheme="majorBidi" w:hAnsiTheme="majorBidi" w:cstheme="majorBidi"/>
          <w:szCs w:val="22"/>
        </w:rPr>
      </w:pPr>
    </w:p>
    <w:p w14:paraId="10D19A65" w14:textId="77777777"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i/>
          <w:iCs/>
          <w:color w:val="000000"/>
          <w:szCs w:val="22"/>
          <w:u w:val="single" w:color="000000"/>
        </w:rPr>
        <w:t>Speciale populaties</w:t>
      </w:r>
    </w:p>
    <w:p w14:paraId="541CE0D1" w14:textId="77777777" w:rsidR="001A274F" w:rsidRPr="00D21D8C" w:rsidRDefault="001A274F">
      <w:pPr>
        <w:keepNext/>
        <w:spacing w:line="240" w:lineRule="auto"/>
        <w:rPr>
          <w:rFonts w:asciiTheme="majorBidi" w:hAnsiTheme="majorBidi" w:cstheme="majorBidi"/>
          <w:szCs w:val="22"/>
        </w:rPr>
      </w:pPr>
    </w:p>
    <w:p w14:paraId="72E9A0BE" w14:textId="77777777" w:rsidR="001A274F" w:rsidRPr="00D21D8C" w:rsidRDefault="00DA418A">
      <w:pPr>
        <w:keepNext/>
        <w:spacing w:line="240" w:lineRule="auto"/>
        <w:rPr>
          <w:rFonts w:asciiTheme="majorBidi" w:hAnsiTheme="majorBidi" w:cstheme="majorBidi"/>
          <w:i/>
          <w:iCs/>
          <w:szCs w:val="22"/>
          <w:u w:val="single"/>
        </w:rPr>
      </w:pPr>
      <w:r w:rsidRPr="00D21D8C">
        <w:rPr>
          <w:rFonts w:asciiTheme="majorBidi" w:hAnsiTheme="majorBidi" w:cstheme="majorBidi"/>
          <w:i/>
          <w:iCs/>
          <w:color w:val="000000"/>
          <w:szCs w:val="22"/>
          <w:u w:color="FFFFFF"/>
        </w:rPr>
        <w:t>Ouderen</w:t>
      </w:r>
    </w:p>
    <w:p w14:paraId="07C88BAB" w14:textId="019B1069" w:rsidR="001A274F" w:rsidRPr="00D21D8C" w:rsidRDefault="00DA418A">
      <w:pPr>
        <w:keepNext/>
        <w:spacing w:line="240" w:lineRule="auto"/>
        <w:rPr>
          <w:rFonts w:asciiTheme="majorBidi" w:hAnsiTheme="majorBidi" w:cstheme="majorBidi"/>
          <w:bCs/>
          <w:iCs/>
          <w:szCs w:val="22"/>
        </w:rPr>
      </w:pPr>
      <w:r w:rsidRPr="00D21D8C">
        <w:rPr>
          <w:rFonts w:asciiTheme="majorBidi" w:hAnsiTheme="majorBidi" w:cstheme="majorBidi"/>
          <w:bCs/>
          <w:iCs/>
          <w:color w:val="000000"/>
          <w:szCs w:val="22"/>
          <w:u w:color="FFFFFF"/>
        </w:rPr>
        <w:t xml:space="preserve">Er is geen dosisaanpassing </w:t>
      </w:r>
      <w:r w:rsidR="00252E96" w:rsidRPr="00D21D8C">
        <w:rPr>
          <w:rFonts w:asciiTheme="majorBidi" w:hAnsiTheme="majorBidi" w:cstheme="majorBidi"/>
          <w:bCs/>
          <w:iCs/>
          <w:color w:val="000000"/>
          <w:szCs w:val="22"/>
          <w:u w:color="FFFFFF"/>
        </w:rPr>
        <w:t xml:space="preserve">noodzakelijk </w:t>
      </w:r>
      <w:r w:rsidRPr="00D21D8C">
        <w:rPr>
          <w:rFonts w:asciiTheme="majorBidi" w:hAnsiTheme="majorBidi" w:cstheme="majorBidi"/>
          <w:bCs/>
          <w:iCs/>
          <w:color w:val="000000"/>
          <w:szCs w:val="22"/>
          <w:u w:color="FFFFFF"/>
        </w:rPr>
        <w:t>op basis van leeftijd (zie rubriek</w:t>
      </w:r>
      <w:r w:rsidR="00B533BF" w:rsidRPr="00D21D8C">
        <w:rPr>
          <w:rFonts w:asciiTheme="majorBidi" w:hAnsiTheme="majorBidi" w:cstheme="majorBidi"/>
          <w:bCs/>
          <w:iCs/>
          <w:color w:val="000000"/>
          <w:szCs w:val="22"/>
          <w:u w:color="FFFFFF"/>
        </w:rPr>
        <w:t> </w:t>
      </w:r>
      <w:r w:rsidRPr="00D21D8C">
        <w:rPr>
          <w:rFonts w:asciiTheme="majorBidi" w:hAnsiTheme="majorBidi" w:cstheme="majorBidi"/>
          <w:bCs/>
          <w:iCs/>
          <w:color w:val="000000"/>
          <w:szCs w:val="22"/>
          <w:u w:color="FFFFFF"/>
        </w:rPr>
        <w:t>5.2).</w:t>
      </w:r>
    </w:p>
    <w:p w14:paraId="33A2CF4D" w14:textId="77777777" w:rsidR="001A274F" w:rsidRPr="00D21D8C" w:rsidRDefault="001A274F">
      <w:pPr>
        <w:spacing w:line="240" w:lineRule="auto"/>
        <w:rPr>
          <w:rFonts w:asciiTheme="majorBidi" w:hAnsiTheme="majorBidi" w:cstheme="majorBidi"/>
          <w:bCs/>
          <w:iCs/>
          <w:szCs w:val="22"/>
        </w:rPr>
      </w:pPr>
    </w:p>
    <w:p w14:paraId="07F78EF3" w14:textId="77777777" w:rsidR="001A274F" w:rsidRPr="00D21D8C" w:rsidRDefault="00DA418A">
      <w:pPr>
        <w:keepNext/>
        <w:spacing w:line="240" w:lineRule="auto"/>
        <w:rPr>
          <w:rFonts w:asciiTheme="majorBidi" w:hAnsiTheme="majorBidi" w:cstheme="majorBidi"/>
          <w:bCs/>
          <w:iCs/>
          <w:szCs w:val="22"/>
          <w:u w:val="single"/>
        </w:rPr>
      </w:pPr>
      <w:r w:rsidRPr="00D21D8C">
        <w:rPr>
          <w:rFonts w:asciiTheme="majorBidi" w:hAnsiTheme="majorBidi" w:cstheme="majorBidi"/>
          <w:i/>
          <w:iCs/>
          <w:color w:val="000000"/>
          <w:szCs w:val="22"/>
          <w:u w:color="FFFFFF"/>
        </w:rPr>
        <w:t>Nierfunctiestoornis</w:t>
      </w:r>
    </w:p>
    <w:p w14:paraId="3F33A8D0" w14:textId="1C595340" w:rsidR="001A274F" w:rsidRPr="00D21D8C" w:rsidRDefault="00DA418A">
      <w:pPr>
        <w:keepNext/>
        <w:spacing w:line="240" w:lineRule="auto"/>
        <w:rPr>
          <w:rFonts w:asciiTheme="majorBidi" w:hAnsiTheme="majorBidi" w:cstheme="majorBidi"/>
          <w:bCs/>
          <w:iCs/>
          <w:szCs w:val="22"/>
        </w:rPr>
      </w:pPr>
      <w:r w:rsidRPr="00D21D8C">
        <w:rPr>
          <w:rFonts w:asciiTheme="majorBidi" w:hAnsiTheme="majorBidi" w:cstheme="majorBidi"/>
          <w:bCs/>
          <w:iCs/>
          <w:color w:val="000000"/>
          <w:szCs w:val="22"/>
          <w:u w:color="FFFFFF"/>
        </w:rPr>
        <w:t xml:space="preserve">Er is geen dosisaanpassing </w:t>
      </w:r>
      <w:r w:rsidR="00252E96" w:rsidRPr="00D21D8C">
        <w:rPr>
          <w:rFonts w:asciiTheme="majorBidi" w:hAnsiTheme="majorBidi" w:cstheme="majorBidi"/>
          <w:bCs/>
          <w:iCs/>
          <w:color w:val="000000"/>
          <w:szCs w:val="22"/>
          <w:u w:color="FFFFFF"/>
        </w:rPr>
        <w:t xml:space="preserve">noodzakelijk </w:t>
      </w:r>
      <w:r w:rsidRPr="00D21D8C">
        <w:rPr>
          <w:rFonts w:asciiTheme="majorBidi" w:hAnsiTheme="majorBidi" w:cstheme="majorBidi"/>
          <w:bCs/>
          <w:iCs/>
          <w:color w:val="000000"/>
          <w:szCs w:val="22"/>
          <w:u w:color="FFFFFF"/>
        </w:rPr>
        <w:t xml:space="preserve">bij patiënten met </w:t>
      </w:r>
      <w:r w:rsidR="002937F5" w:rsidRPr="00D21D8C">
        <w:rPr>
          <w:rFonts w:asciiTheme="majorBidi" w:hAnsiTheme="majorBidi" w:cstheme="majorBidi"/>
          <w:bCs/>
          <w:iCs/>
          <w:color w:val="000000"/>
          <w:szCs w:val="22"/>
          <w:u w:color="FFFFFF"/>
        </w:rPr>
        <w:t xml:space="preserve">een </w:t>
      </w:r>
      <w:r w:rsidR="008F6DD8" w:rsidRPr="00D21D8C">
        <w:rPr>
          <w:rFonts w:asciiTheme="majorBidi" w:hAnsiTheme="majorBidi" w:cstheme="majorBidi"/>
          <w:bCs/>
          <w:iCs/>
          <w:color w:val="000000"/>
          <w:szCs w:val="22"/>
          <w:u w:color="FFFFFF"/>
        </w:rPr>
        <w:t>lichte</w:t>
      </w:r>
      <w:r w:rsidRPr="00D21D8C">
        <w:rPr>
          <w:rFonts w:asciiTheme="majorBidi" w:hAnsiTheme="majorBidi" w:cstheme="majorBidi"/>
          <w:bCs/>
          <w:iCs/>
          <w:color w:val="000000"/>
          <w:szCs w:val="22"/>
          <w:u w:color="FFFFFF"/>
        </w:rPr>
        <w:t xml:space="preserve">, matige of ernstige </w:t>
      </w:r>
      <w:r w:rsidR="00252E96" w:rsidRPr="00D21D8C">
        <w:rPr>
          <w:rFonts w:asciiTheme="majorBidi" w:hAnsiTheme="majorBidi" w:cstheme="majorBidi"/>
          <w:bCs/>
          <w:iCs/>
          <w:color w:val="000000"/>
          <w:szCs w:val="22"/>
          <w:u w:color="FFFFFF"/>
        </w:rPr>
        <w:t>nierfunctiestoornis</w:t>
      </w:r>
      <w:r w:rsidRPr="00D21D8C">
        <w:rPr>
          <w:rFonts w:asciiTheme="majorBidi" w:hAnsiTheme="majorBidi" w:cstheme="majorBidi"/>
          <w:bCs/>
          <w:iCs/>
          <w:color w:val="000000"/>
          <w:szCs w:val="22"/>
          <w:u w:color="FFFFFF"/>
        </w:rPr>
        <w:t>. Er zijn geen gegevens beschikbaar voor patiënten die dialyse ondergaan (zie rubriek</w:t>
      </w:r>
      <w:r w:rsidR="00B533BF" w:rsidRPr="00D21D8C">
        <w:rPr>
          <w:rFonts w:asciiTheme="majorBidi" w:hAnsiTheme="majorBidi" w:cstheme="majorBidi"/>
          <w:bCs/>
          <w:iCs/>
          <w:color w:val="000000"/>
          <w:szCs w:val="22"/>
          <w:u w:color="FFFFFF"/>
        </w:rPr>
        <w:t> </w:t>
      </w:r>
      <w:r w:rsidRPr="00D21D8C">
        <w:rPr>
          <w:rFonts w:asciiTheme="majorBidi" w:hAnsiTheme="majorBidi" w:cstheme="majorBidi"/>
          <w:bCs/>
          <w:iCs/>
          <w:color w:val="000000"/>
          <w:szCs w:val="22"/>
          <w:u w:color="FFFFFF"/>
        </w:rPr>
        <w:t>5.2).</w:t>
      </w:r>
    </w:p>
    <w:p w14:paraId="3BE017AB" w14:textId="77777777" w:rsidR="001A274F" w:rsidRPr="00D21D8C" w:rsidRDefault="001A274F">
      <w:pPr>
        <w:keepNext/>
        <w:spacing w:line="240" w:lineRule="auto"/>
        <w:rPr>
          <w:rFonts w:asciiTheme="majorBidi" w:hAnsiTheme="majorBidi" w:cstheme="majorBidi"/>
          <w:bCs/>
          <w:iCs/>
          <w:szCs w:val="22"/>
        </w:rPr>
      </w:pPr>
    </w:p>
    <w:p w14:paraId="1EF8C860" w14:textId="77777777" w:rsidR="001A274F" w:rsidRPr="00D21D8C" w:rsidRDefault="00DA418A">
      <w:pPr>
        <w:keepNext/>
        <w:spacing w:line="240" w:lineRule="auto"/>
        <w:rPr>
          <w:rFonts w:asciiTheme="majorBidi" w:hAnsiTheme="majorBidi" w:cstheme="majorBidi"/>
          <w:bCs/>
          <w:iCs/>
          <w:szCs w:val="22"/>
          <w:u w:val="single"/>
        </w:rPr>
      </w:pPr>
      <w:r w:rsidRPr="00D21D8C">
        <w:rPr>
          <w:rFonts w:asciiTheme="majorBidi" w:hAnsiTheme="majorBidi" w:cstheme="majorBidi"/>
          <w:i/>
          <w:iCs/>
          <w:color w:val="000000"/>
          <w:szCs w:val="22"/>
          <w:u w:color="FFFFFF"/>
        </w:rPr>
        <w:t>Leverfunctiestoornis</w:t>
      </w:r>
    </w:p>
    <w:p w14:paraId="492BC8C4" w14:textId="2450512E" w:rsidR="001A274F" w:rsidRPr="00D21D8C" w:rsidRDefault="00DA418A">
      <w:pPr>
        <w:keepNext/>
        <w:spacing w:line="240" w:lineRule="auto"/>
        <w:rPr>
          <w:rFonts w:asciiTheme="majorBidi" w:hAnsiTheme="majorBidi" w:cstheme="majorBidi"/>
          <w:bCs/>
          <w:iCs/>
          <w:szCs w:val="22"/>
        </w:rPr>
      </w:pPr>
      <w:r w:rsidRPr="00D21D8C">
        <w:rPr>
          <w:rFonts w:asciiTheme="majorBidi" w:hAnsiTheme="majorBidi" w:cstheme="majorBidi"/>
          <w:bCs/>
          <w:iCs/>
          <w:color w:val="000000"/>
          <w:szCs w:val="22"/>
          <w:u w:color="FFFFFF"/>
        </w:rPr>
        <w:t xml:space="preserve">Er is geen </w:t>
      </w:r>
      <w:r w:rsidR="00252E96" w:rsidRPr="00D21D8C">
        <w:rPr>
          <w:rFonts w:asciiTheme="majorBidi" w:hAnsiTheme="majorBidi" w:cstheme="majorBidi"/>
          <w:bCs/>
          <w:iCs/>
          <w:color w:val="000000"/>
          <w:szCs w:val="22"/>
          <w:u w:color="FFFFFF"/>
        </w:rPr>
        <w:t>dosis</w:t>
      </w:r>
      <w:r w:rsidRPr="00D21D8C">
        <w:rPr>
          <w:rFonts w:asciiTheme="majorBidi" w:hAnsiTheme="majorBidi" w:cstheme="majorBidi"/>
          <w:bCs/>
          <w:iCs/>
          <w:color w:val="000000"/>
          <w:szCs w:val="22"/>
          <w:u w:color="FFFFFF"/>
        </w:rPr>
        <w:t xml:space="preserve">aanpassing </w:t>
      </w:r>
      <w:r w:rsidR="00252E96" w:rsidRPr="00D21D8C">
        <w:rPr>
          <w:rFonts w:asciiTheme="majorBidi" w:hAnsiTheme="majorBidi" w:cstheme="majorBidi"/>
          <w:bCs/>
          <w:iCs/>
          <w:color w:val="000000"/>
          <w:szCs w:val="22"/>
          <w:u w:color="FFFFFF"/>
        </w:rPr>
        <w:t>noodzakelijk</w:t>
      </w:r>
      <w:r w:rsidRPr="00D21D8C">
        <w:rPr>
          <w:rFonts w:asciiTheme="majorBidi" w:hAnsiTheme="majorBidi" w:cstheme="majorBidi"/>
          <w:bCs/>
          <w:iCs/>
          <w:color w:val="000000"/>
          <w:szCs w:val="22"/>
          <w:u w:color="FFFFFF"/>
        </w:rPr>
        <w:t xml:space="preserve"> </w:t>
      </w:r>
      <w:r w:rsidR="00252E96" w:rsidRPr="00D21D8C">
        <w:rPr>
          <w:rFonts w:asciiTheme="majorBidi" w:hAnsiTheme="majorBidi" w:cstheme="majorBidi"/>
          <w:bCs/>
          <w:iCs/>
          <w:color w:val="000000"/>
          <w:szCs w:val="22"/>
          <w:u w:color="FFFFFF"/>
        </w:rPr>
        <w:t xml:space="preserve">bij </w:t>
      </w:r>
      <w:r w:rsidRPr="00D21D8C">
        <w:rPr>
          <w:rFonts w:asciiTheme="majorBidi" w:hAnsiTheme="majorBidi" w:cstheme="majorBidi"/>
          <w:bCs/>
          <w:iCs/>
          <w:color w:val="000000"/>
          <w:szCs w:val="22"/>
          <w:u w:color="FFFFFF"/>
        </w:rPr>
        <w:t xml:space="preserve">patiënten met </w:t>
      </w:r>
      <w:r w:rsidR="002937F5" w:rsidRPr="00D21D8C">
        <w:rPr>
          <w:rFonts w:asciiTheme="majorBidi" w:hAnsiTheme="majorBidi" w:cstheme="majorBidi"/>
          <w:bCs/>
          <w:iCs/>
          <w:color w:val="000000"/>
          <w:szCs w:val="22"/>
          <w:u w:color="FFFFFF"/>
        </w:rPr>
        <w:t xml:space="preserve">een </w:t>
      </w:r>
      <w:r w:rsidR="008F6DD8" w:rsidRPr="00D21D8C">
        <w:rPr>
          <w:rFonts w:asciiTheme="majorBidi" w:hAnsiTheme="majorBidi" w:cstheme="majorBidi"/>
          <w:bCs/>
          <w:iCs/>
          <w:color w:val="000000"/>
          <w:szCs w:val="22"/>
          <w:u w:color="FFFFFF"/>
        </w:rPr>
        <w:t>lichte</w:t>
      </w:r>
      <w:r w:rsidRPr="00D21D8C">
        <w:rPr>
          <w:rFonts w:asciiTheme="majorBidi" w:hAnsiTheme="majorBidi" w:cstheme="majorBidi"/>
          <w:bCs/>
          <w:iCs/>
          <w:color w:val="000000"/>
          <w:szCs w:val="22"/>
          <w:u w:color="FFFFFF"/>
        </w:rPr>
        <w:t>, matige of ernstige leverfunctiestoornis (zie rubriek</w:t>
      </w:r>
      <w:r w:rsidR="00B533BF" w:rsidRPr="00D21D8C">
        <w:rPr>
          <w:rFonts w:asciiTheme="majorBidi" w:hAnsiTheme="majorBidi" w:cstheme="majorBidi"/>
          <w:bCs/>
          <w:iCs/>
          <w:color w:val="000000"/>
          <w:szCs w:val="22"/>
          <w:u w:color="FFFFFF"/>
        </w:rPr>
        <w:t> </w:t>
      </w:r>
      <w:r w:rsidRPr="00D21D8C">
        <w:rPr>
          <w:rFonts w:asciiTheme="majorBidi" w:hAnsiTheme="majorBidi" w:cstheme="majorBidi"/>
          <w:bCs/>
          <w:iCs/>
          <w:color w:val="000000"/>
          <w:szCs w:val="22"/>
          <w:u w:color="FFFFFF"/>
        </w:rPr>
        <w:t>5.2).</w:t>
      </w:r>
    </w:p>
    <w:p w14:paraId="2FC1E264" w14:textId="77777777" w:rsidR="001A274F" w:rsidRPr="00D21D8C" w:rsidRDefault="001A274F">
      <w:pPr>
        <w:spacing w:line="240" w:lineRule="auto"/>
        <w:rPr>
          <w:rFonts w:asciiTheme="majorBidi" w:hAnsiTheme="majorBidi" w:cstheme="majorBidi"/>
          <w:szCs w:val="22"/>
        </w:rPr>
      </w:pPr>
    </w:p>
    <w:p w14:paraId="3C16F257" w14:textId="77777777" w:rsidR="001A274F" w:rsidRPr="00D21D8C" w:rsidRDefault="00DA418A">
      <w:pPr>
        <w:keepNext/>
        <w:spacing w:line="240" w:lineRule="auto"/>
        <w:rPr>
          <w:rFonts w:asciiTheme="majorBidi" w:hAnsiTheme="majorBidi" w:cstheme="majorBidi"/>
          <w:bCs/>
          <w:i/>
          <w:iCs/>
          <w:szCs w:val="22"/>
          <w:u w:val="single"/>
        </w:rPr>
      </w:pPr>
      <w:r w:rsidRPr="00D21D8C">
        <w:rPr>
          <w:rFonts w:asciiTheme="majorBidi" w:hAnsiTheme="majorBidi" w:cstheme="majorBidi"/>
          <w:i/>
          <w:iCs/>
          <w:color w:val="000000"/>
          <w:szCs w:val="22"/>
          <w:u w:color="FFFFFF"/>
        </w:rPr>
        <w:lastRenderedPageBreak/>
        <w:t>Pediatrische patiënten</w:t>
      </w:r>
    </w:p>
    <w:p w14:paraId="575BCF8B" w14:textId="5D1CE66D"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color="FFFFFF"/>
        </w:rPr>
        <w:t>De veiligheid en werkzaamheid van Jaypirca bij kinderen en jongeren tot 18</w:t>
      </w:r>
      <w:r w:rsidR="00B533BF"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jaar zijn niet vastgesteld. Er zijn geen gegevens beschikbaar.</w:t>
      </w:r>
    </w:p>
    <w:p w14:paraId="7835DC76" w14:textId="77777777" w:rsidR="001A274F" w:rsidRPr="00D21D8C" w:rsidRDefault="00DA418A">
      <w:pPr>
        <w:spacing w:line="240" w:lineRule="auto"/>
        <w:rPr>
          <w:rFonts w:asciiTheme="majorBidi" w:hAnsiTheme="majorBidi" w:cstheme="majorBidi"/>
          <w:szCs w:val="22"/>
          <w:u w:val="single"/>
        </w:rPr>
      </w:pPr>
      <w:r w:rsidRPr="00D21D8C">
        <w:rPr>
          <w:rFonts w:asciiTheme="majorBidi" w:hAnsiTheme="majorBidi" w:cstheme="majorBidi"/>
          <w:szCs w:val="22"/>
        </w:rPr>
        <w:t xml:space="preserve"> </w:t>
      </w:r>
    </w:p>
    <w:p w14:paraId="45579A52" w14:textId="77777777"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val="single" w:color="000000"/>
        </w:rPr>
        <w:t xml:space="preserve">Wijze van toediening </w:t>
      </w:r>
    </w:p>
    <w:p w14:paraId="4CC81494" w14:textId="77777777" w:rsidR="001A274F" w:rsidRPr="00D21D8C" w:rsidRDefault="001A274F">
      <w:pPr>
        <w:keepNext/>
        <w:spacing w:line="240" w:lineRule="auto"/>
        <w:rPr>
          <w:rFonts w:asciiTheme="majorBidi" w:hAnsiTheme="majorBidi" w:cstheme="majorBidi"/>
          <w:szCs w:val="22"/>
          <w:u w:val="single"/>
        </w:rPr>
      </w:pPr>
    </w:p>
    <w:p w14:paraId="32CA54F9" w14:textId="77777777"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color="FFFFFF"/>
        </w:rPr>
        <w:t>Jaypirca is bestemd voor oraal gebruik.</w:t>
      </w:r>
    </w:p>
    <w:p w14:paraId="28CFC7D7" w14:textId="77777777" w:rsidR="007B5E13" w:rsidRPr="00D21D8C" w:rsidRDefault="007B5E13">
      <w:pPr>
        <w:spacing w:line="240" w:lineRule="auto"/>
        <w:rPr>
          <w:rFonts w:asciiTheme="majorBidi" w:hAnsiTheme="majorBidi" w:cstheme="majorBidi"/>
          <w:szCs w:val="22"/>
        </w:rPr>
      </w:pPr>
    </w:p>
    <w:p w14:paraId="58820CE8" w14:textId="644306F4" w:rsidR="001A274F" w:rsidRPr="00D21D8C" w:rsidRDefault="00DA418A">
      <w:pPr>
        <w:spacing w:line="240" w:lineRule="auto"/>
        <w:rPr>
          <w:rFonts w:asciiTheme="majorBidi" w:hAnsiTheme="majorBidi" w:cstheme="majorBidi"/>
          <w:color w:val="000000"/>
          <w:szCs w:val="22"/>
          <w:u w:color="FFFFFF"/>
        </w:rPr>
      </w:pPr>
      <w:r w:rsidRPr="00D21D8C">
        <w:rPr>
          <w:rFonts w:asciiTheme="majorBidi" w:hAnsiTheme="majorBidi" w:cstheme="majorBidi"/>
          <w:color w:val="000000"/>
          <w:szCs w:val="22"/>
          <w:u w:color="FFFFFF"/>
        </w:rPr>
        <w:t>De tablet moet</w:t>
      </w:r>
      <w:r w:rsidR="007B5E13" w:rsidRPr="00D21D8C">
        <w:rPr>
          <w:rFonts w:asciiTheme="majorBidi" w:hAnsiTheme="majorBidi" w:cstheme="majorBidi"/>
          <w:color w:val="000000"/>
          <w:szCs w:val="22"/>
          <w:u w:color="FFFFFF"/>
        </w:rPr>
        <w:t xml:space="preserve"> </w:t>
      </w:r>
      <w:r w:rsidRPr="00D21D8C">
        <w:rPr>
          <w:rFonts w:asciiTheme="majorBidi" w:hAnsiTheme="majorBidi" w:cstheme="majorBidi"/>
          <w:color w:val="000000"/>
          <w:szCs w:val="22"/>
          <w:u w:color="FFFFFF"/>
        </w:rPr>
        <w:t xml:space="preserve">in </w:t>
      </w:r>
      <w:r w:rsidR="00252E96" w:rsidRPr="00D21D8C">
        <w:rPr>
          <w:rFonts w:asciiTheme="majorBidi" w:hAnsiTheme="majorBidi" w:cstheme="majorBidi"/>
          <w:color w:val="000000"/>
          <w:szCs w:val="22"/>
          <w:u w:color="FFFFFF"/>
        </w:rPr>
        <w:t xml:space="preserve">zijn </w:t>
      </w:r>
      <w:r w:rsidRPr="00D21D8C">
        <w:rPr>
          <w:rFonts w:asciiTheme="majorBidi" w:hAnsiTheme="majorBidi" w:cstheme="majorBidi"/>
          <w:color w:val="000000"/>
          <w:szCs w:val="22"/>
          <w:u w:color="FFFFFF"/>
        </w:rPr>
        <w:t xml:space="preserve">geheel worden </w:t>
      </w:r>
      <w:r w:rsidR="00E53AFE" w:rsidRPr="00D21D8C">
        <w:rPr>
          <w:rFonts w:asciiTheme="majorBidi" w:hAnsiTheme="majorBidi" w:cstheme="majorBidi"/>
          <w:color w:val="000000"/>
          <w:szCs w:val="22"/>
          <w:u w:color="FFFFFF"/>
        </w:rPr>
        <w:t xml:space="preserve">doorgeslikt </w:t>
      </w:r>
      <w:r w:rsidR="00FE717E" w:rsidRPr="00D21D8C">
        <w:rPr>
          <w:rFonts w:asciiTheme="majorBidi" w:hAnsiTheme="majorBidi" w:cstheme="majorBidi"/>
          <w:color w:val="000000"/>
          <w:szCs w:val="22"/>
          <w:u w:color="FFFFFF"/>
        </w:rPr>
        <w:t xml:space="preserve">met een glas water </w:t>
      </w:r>
      <w:r w:rsidRPr="00D21D8C">
        <w:rPr>
          <w:rFonts w:asciiTheme="majorBidi" w:hAnsiTheme="majorBidi" w:cstheme="majorBidi"/>
          <w:color w:val="000000"/>
          <w:szCs w:val="22"/>
          <w:u w:color="FFFFFF"/>
        </w:rPr>
        <w:t xml:space="preserve">om consistente </w:t>
      </w:r>
      <w:r w:rsidR="00E53AFE" w:rsidRPr="00D21D8C">
        <w:rPr>
          <w:rFonts w:asciiTheme="majorBidi" w:hAnsiTheme="majorBidi" w:cstheme="majorBidi"/>
          <w:color w:val="000000"/>
          <w:szCs w:val="22"/>
          <w:u w:color="FFFFFF"/>
        </w:rPr>
        <w:t>werking</w:t>
      </w:r>
      <w:r w:rsidRPr="00D21D8C">
        <w:rPr>
          <w:rFonts w:asciiTheme="majorBidi" w:hAnsiTheme="majorBidi" w:cstheme="majorBidi"/>
          <w:color w:val="000000"/>
          <w:szCs w:val="22"/>
          <w:u w:color="FFFFFF"/>
        </w:rPr>
        <w:t xml:space="preserve"> te </w:t>
      </w:r>
      <w:r w:rsidR="0057556B" w:rsidRPr="00D21D8C">
        <w:rPr>
          <w:rFonts w:asciiTheme="majorBidi" w:hAnsiTheme="majorBidi" w:cstheme="majorBidi"/>
          <w:color w:val="000000"/>
          <w:szCs w:val="22"/>
          <w:u w:color="FFFFFF"/>
        </w:rPr>
        <w:t>garanderen</w:t>
      </w:r>
      <w:r w:rsidRPr="00D21D8C">
        <w:rPr>
          <w:rFonts w:asciiTheme="majorBidi" w:hAnsiTheme="majorBidi" w:cstheme="majorBidi"/>
          <w:color w:val="000000"/>
          <w:szCs w:val="22"/>
          <w:u w:color="FFFFFF"/>
        </w:rPr>
        <w:t xml:space="preserve"> (patiënten dienen</w:t>
      </w:r>
      <w:r w:rsidR="00252E96" w:rsidRPr="00D21D8C">
        <w:rPr>
          <w:rFonts w:asciiTheme="majorBidi" w:hAnsiTheme="majorBidi" w:cstheme="majorBidi"/>
          <w:color w:val="000000"/>
          <w:szCs w:val="22"/>
          <w:u w:color="FFFFFF"/>
        </w:rPr>
        <w:t xml:space="preserve"> de </w:t>
      </w:r>
      <w:r w:rsidRPr="00D21D8C">
        <w:rPr>
          <w:rFonts w:asciiTheme="majorBidi" w:hAnsiTheme="majorBidi" w:cstheme="majorBidi"/>
          <w:color w:val="000000"/>
          <w:szCs w:val="22"/>
          <w:u w:color="FFFFFF"/>
        </w:rPr>
        <w:t xml:space="preserve">tabletten niet te kauwen, </w:t>
      </w:r>
      <w:r w:rsidR="00E53AFE" w:rsidRPr="00D21D8C">
        <w:rPr>
          <w:rFonts w:asciiTheme="majorBidi" w:hAnsiTheme="majorBidi" w:cstheme="majorBidi"/>
          <w:color w:val="000000"/>
          <w:szCs w:val="22"/>
          <w:u w:color="FFFFFF"/>
        </w:rPr>
        <w:t>fijn</w:t>
      </w:r>
      <w:r w:rsidR="00C629A0" w:rsidRPr="00D21D8C">
        <w:rPr>
          <w:rFonts w:asciiTheme="majorBidi" w:hAnsiTheme="majorBidi" w:cstheme="majorBidi"/>
          <w:color w:val="000000"/>
          <w:szCs w:val="22"/>
          <w:u w:color="FFFFFF"/>
        </w:rPr>
        <w:t xml:space="preserve"> te </w:t>
      </w:r>
      <w:r w:rsidR="009A237D" w:rsidRPr="00D21D8C">
        <w:rPr>
          <w:rFonts w:asciiTheme="majorBidi" w:hAnsiTheme="majorBidi" w:cstheme="majorBidi"/>
          <w:color w:val="000000"/>
          <w:szCs w:val="22"/>
          <w:u w:color="FFFFFF"/>
        </w:rPr>
        <w:t>malen</w:t>
      </w:r>
      <w:r w:rsidR="005171D9" w:rsidRPr="00D21D8C">
        <w:rPr>
          <w:rFonts w:asciiTheme="majorBidi" w:hAnsiTheme="majorBidi" w:cstheme="majorBidi"/>
          <w:color w:val="000000"/>
          <w:szCs w:val="22"/>
          <w:u w:color="FFFFFF"/>
        </w:rPr>
        <w:t xml:space="preserve"> </w:t>
      </w:r>
      <w:r w:rsidRPr="00D21D8C">
        <w:rPr>
          <w:rFonts w:asciiTheme="majorBidi" w:hAnsiTheme="majorBidi" w:cstheme="majorBidi"/>
          <w:color w:val="000000"/>
          <w:szCs w:val="22"/>
          <w:u w:color="FFFFFF"/>
        </w:rPr>
        <w:t xml:space="preserve">of </w:t>
      </w:r>
      <w:r w:rsidR="00B533BF" w:rsidRPr="00D21D8C">
        <w:rPr>
          <w:rFonts w:asciiTheme="majorBidi" w:hAnsiTheme="majorBidi" w:cstheme="majorBidi"/>
          <w:color w:val="000000"/>
          <w:szCs w:val="22"/>
          <w:u w:color="FFFFFF"/>
        </w:rPr>
        <w:t xml:space="preserve">te </w:t>
      </w:r>
      <w:r w:rsidR="000843EC" w:rsidRPr="00D21D8C">
        <w:rPr>
          <w:rFonts w:asciiTheme="majorBidi" w:hAnsiTheme="majorBidi" w:cstheme="majorBidi"/>
          <w:color w:val="000000"/>
          <w:szCs w:val="22"/>
          <w:u w:color="FFFFFF"/>
        </w:rPr>
        <w:t xml:space="preserve">breken </w:t>
      </w:r>
      <w:r w:rsidR="00252E96" w:rsidRPr="00D21D8C">
        <w:rPr>
          <w:rFonts w:asciiTheme="majorBidi" w:hAnsiTheme="majorBidi" w:cstheme="majorBidi"/>
          <w:color w:val="000000"/>
          <w:szCs w:val="22"/>
          <w:u w:color="FFFFFF"/>
        </w:rPr>
        <w:t>voor het doorslikken</w:t>
      </w:r>
      <w:r w:rsidRPr="00D21D8C">
        <w:rPr>
          <w:rFonts w:asciiTheme="majorBidi" w:hAnsiTheme="majorBidi" w:cstheme="majorBidi"/>
          <w:color w:val="000000"/>
          <w:szCs w:val="22"/>
          <w:u w:color="FFFFFF"/>
        </w:rPr>
        <w:t>)</w:t>
      </w:r>
      <w:r w:rsidR="00252E96" w:rsidRPr="00D21D8C">
        <w:rPr>
          <w:rFonts w:asciiTheme="majorBidi" w:hAnsiTheme="majorBidi" w:cstheme="majorBidi"/>
          <w:color w:val="000000"/>
          <w:szCs w:val="22"/>
          <w:u w:color="FFFFFF"/>
        </w:rPr>
        <w:t xml:space="preserve"> en</w:t>
      </w:r>
      <w:r w:rsidRPr="00D21D8C">
        <w:rPr>
          <w:rFonts w:asciiTheme="majorBidi" w:hAnsiTheme="majorBidi" w:cstheme="majorBidi"/>
          <w:color w:val="000000"/>
          <w:szCs w:val="22"/>
          <w:u w:color="FFFFFF"/>
        </w:rPr>
        <w:t xml:space="preserve"> kan met of zonder voedsel worden ingenomen. Patiënten moeten de dosis elke dag op ongeveer hetzelfde tijdstip innemen. </w:t>
      </w:r>
    </w:p>
    <w:p w14:paraId="09990A98" w14:textId="77777777" w:rsidR="00067EA3" w:rsidRPr="00D21D8C" w:rsidRDefault="00067EA3">
      <w:pPr>
        <w:spacing w:line="240" w:lineRule="auto"/>
        <w:rPr>
          <w:rFonts w:asciiTheme="majorBidi" w:hAnsiTheme="majorBidi" w:cstheme="majorBidi"/>
          <w:szCs w:val="22"/>
        </w:rPr>
      </w:pPr>
    </w:p>
    <w:p w14:paraId="01508E5F" w14:textId="77777777" w:rsidR="001A274F" w:rsidRPr="00D21D8C" w:rsidRDefault="00DA418A">
      <w:pPr>
        <w:keepNext/>
        <w:spacing w:line="240" w:lineRule="auto"/>
        <w:ind w:left="567" w:hanging="567"/>
        <w:rPr>
          <w:rFonts w:asciiTheme="majorBidi" w:hAnsiTheme="majorBidi" w:cstheme="majorBidi"/>
          <w:szCs w:val="22"/>
        </w:rPr>
      </w:pPr>
      <w:r w:rsidRPr="00D21D8C">
        <w:rPr>
          <w:rFonts w:asciiTheme="majorBidi" w:hAnsiTheme="majorBidi" w:cstheme="majorBidi"/>
          <w:b/>
          <w:bCs/>
          <w:color w:val="000000"/>
          <w:szCs w:val="22"/>
          <w:u w:color="FFFFFF"/>
        </w:rPr>
        <w:t>4.3</w:t>
      </w:r>
      <w:r w:rsidRPr="00D21D8C">
        <w:rPr>
          <w:rFonts w:asciiTheme="majorBidi" w:hAnsiTheme="majorBidi" w:cstheme="majorBidi"/>
          <w:b/>
          <w:bCs/>
          <w:color w:val="000000"/>
          <w:szCs w:val="22"/>
          <w:u w:color="FFFFFF"/>
        </w:rPr>
        <w:tab/>
        <w:t>Contra-indicaties</w:t>
      </w:r>
    </w:p>
    <w:p w14:paraId="0A7272CF" w14:textId="77777777" w:rsidR="001A274F" w:rsidRPr="00D21D8C" w:rsidRDefault="001A274F">
      <w:pPr>
        <w:keepNext/>
        <w:spacing w:line="240" w:lineRule="auto"/>
        <w:rPr>
          <w:rFonts w:asciiTheme="majorBidi" w:hAnsiTheme="majorBidi" w:cstheme="majorBidi"/>
          <w:szCs w:val="22"/>
        </w:rPr>
      </w:pPr>
    </w:p>
    <w:p w14:paraId="63AB2DB0" w14:textId="3AE86378"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color="FFFFFF"/>
        </w:rPr>
        <w:t>Overgevoeligheid voor de werkzame stof</w:t>
      </w:r>
      <w:r w:rsidR="000F6E0E" w:rsidRPr="00D21D8C">
        <w:rPr>
          <w:rFonts w:asciiTheme="majorBidi" w:hAnsiTheme="majorBidi" w:cstheme="majorBidi"/>
          <w:color w:val="000000"/>
          <w:szCs w:val="22"/>
          <w:u w:color="FFFFFF"/>
        </w:rPr>
        <w:t>(fen)</w:t>
      </w:r>
      <w:r w:rsidRPr="00D21D8C">
        <w:rPr>
          <w:rFonts w:asciiTheme="majorBidi" w:hAnsiTheme="majorBidi" w:cstheme="majorBidi"/>
          <w:color w:val="000000"/>
          <w:szCs w:val="22"/>
          <w:u w:color="FFFFFF"/>
        </w:rPr>
        <w:t xml:space="preserve"> of voor een van de in rubriek</w:t>
      </w:r>
      <w:r w:rsidR="00B533BF"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6.1 vermelde hulpstof</w:t>
      </w:r>
      <w:r w:rsidR="000F6E0E" w:rsidRPr="00D21D8C">
        <w:rPr>
          <w:rFonts w:asciiTheme="majorBidi" w:hAnsiTheme="majorBidi" w:cstheme="majorBidi"/>
          <w:color w:val="000000"/>
          <w:szCs w:val="22"/>
          <w:u w:color="FFFFFF"/>
        </w:rPr>
        <w:t>(</w:t>
      </w:r>
      <w:r w:rsidRPr="00D21D8C">
        <w:rPr>
          <w:rFonts w:asciiTheme="majorBidi" w:hAnsiTheme="majorBidi" w:cstheme="majorBidi"/>
          <w:color w:val="000000"/>
          <w:szCs w:val="22"/>
          <w:u w:color="FFFFFF"/>
        </w:rPr>
        <w:t>fen</w:t>
      </w:r>
      <w:r w:rsidR="000F6E0E" w:rsidRPr="00D21D8C">
        <w:rPr>
          <w:rFonts w:asciiTheme="majorBidi" w:hAnsiTheme="majorBidi" w:cstheme="majorBidi"/>
          <w:color w:val="000000"/>
          <w:szCs w:val="22"/>
          <w:u w:color="FFFFFF"/>
        </w:rPr>
        <w:t>)</w:t>
      </w:r>
      <w:r w:rsidRPr="00D21D8C">
        <w:rPr>
          <w:rFonts w:asciiTheme="majorBidi" w:hAnsiTheme="majorBidi" w:cstheme="majorBidi"/>
          <w:color w:val="000000"/>
          <w:szCs w:val="22"/>
          <w:u w:color="FFFFFF"/>
        </w:rPr>
        <w:t>.</w:t>
      </w:r>
    </w:p>
    <w:p w14:paraId="3904B103" w14:textId="77777777" w:rsidR="001A274F" w:rsidRPr="00D21D8C" w:rsidRDefault="001A274F">
      <w:pPr>
        <w:spacing w:line="240" w:lineRule="auto"/>
        <w:rPr>
          <w:rFonts w:asciiTheme="majorBidi" w:hAnsiTheme="majorBidi" w:cstheme="majorBidi"/>
          <w:szCs w:val="22"/>
        </w:rPr>
      </w:pPr>
    </w:p>
    <w:p w14:paraId="040789D3" w14:textId="77777777" w:rsidR="001A274F" w:rsidRPr="00D21D8C" w:rsidRDefault="00DA418A">
      <w:pPr>
        <w:keepNext/>
        <w:spacing w:line="240" w:lineRule="auto"/>
        <w:ind w:left="567" w:hanging="567"/>
        <w:rPr>
          <w:rFonts w:asciiTheme="majorBidi" w:hAnsiTheme="majorBidi" w:cstheme="majorBidi"/>
          <w:b/>
          <w:szCs w:val="22"/>
        </w:rPr>
      </w:pPr>
      <w:r w:rsidRPr="00D21D8C">
        <w:rPr>
          <w:rFonts w:asciiTheme="majorBidi" w:hAnsiTheme="majorBidi" w:cstheme="majorBidi"/>
          <w:b/>
          <w:bCs/>
          <w:color w:val="000000"/>
          <w:szCs w:val="22"/>
          <w:u w:color="FFFFFF"/>
        </w:rPr>
        <w:t>4.4</w:t>
      </w:r>
      <w:r w:rsidRPr="00D21D8C">
        <w:rPr>
          <w:rFonts w:asciiTheme="majorBidi" w:hAnsiTheme="majorBidi" w:cstheme="majorBidi"/>
          <w:b/>
          <w:bCs/>
          <w:color w:val="000000"/>
          <w:szCs w:val="22"/>
          <w:u w:color="FFFFFF"/>
        </w:rPr>
        <w:tab/>
        <w:t>Bijzondere waarschuwingen en voorzorgen bij gebruik</w:t>
      </w:r>
    </w:p>
    <w:p w14:paraId="303F0CF0" w14:textId="77777777" w:rsidR="001A274F" w:rsidRPr="00D21D8C" w:rsidRDefault="001A274F">
      <w:pPr>
        <w:keepNext/>
        <w:spacing w:line="240" w:lineRule="auto"/>
        <w:ind w:left="567" w:hanging="567"/>
        <w:rPr>
          <w:rFonts w:asciiTheme="majorBidi" w:hAnsiTheme="majorBidi" w:cstheme="majorBidi"/>
          <w:b/>
          <w:szCs w:val="22"/>
        </w:rPr>
      </w:pPr>
    </w:p>
    <w:p w14:paraId="7DE0303F" w14:textId="77777777" w:rsidR="001A274F" w:rsidRPr="00D21D8C" w:rsidRDefault="00DA418A">
      <w:pPr>
        <w:keepNext/>
        <w:tabs>
          <w:tab w:val="clear" w:pos="567"/>
        </w:tabs>
        <w:spacing w:line="240" w:lineRule="auto"/>
        <w:rPr>
          <w:rFonts w:asciiTheme="majorBidi" w:hAnsiTheme="majorBidi" w:cstheme="majorBidi"/>
          <w:szCs w:val="22"/>
          <w:u w:val="single"/>
        </w:rPr>
      </w:pPr>
      <w:r w:rsidRPr="00D21D8C">
        <w:rPr>
          <w:rFonts w:asciiTheme="majorBidi" w:hAnsiTheme="majorBidi" w:cstheme="majorBidi"/>
          <w:color w:val="000000"/>
          <w:szCs w:val="22"/>
          <w:u w:val="single" w:color="000000"/>
        </w:rPr>
        <w:t>Infecties</w:t>
      </w:r>
      <w:r w:rsidRPr="00D21D8C">
        <w:rPr>
          <w:rFonts w:asciiTheme="majorBidi" w:hAnsiTheme="majorBidi" w:cstheme="majorBidi"/>
          <w:color w:val="000000"/>
          <w:szCs w:val="22"/>
          <w:u w:val="single" w:color="FFFFFF"/>
        </w:rPr>
        <w:br/>
      </w:r>
    </w:p>
    <w:p w14:paraId="1CA7D1A8" w14:textId="382970AB" w:rsidR="001A274F" w:rsidRPr="00D21D8C" w:rsidRDefault="00DA418A">
      <w:pPr>
        <w:keepNext/>
        <w:tabs>
          <w:tab w:val="clear" w:pos="567"/>
        </w:tabs>
        <w:spacing w:line="240" w:lineRule="auto"/>
        <w:rPr>
          <w:rFonts w:asciiTheme="majorBidi" w:hAnsiTheme="majorBidi" w:cstheme="majorBidi"/>
          <w:szCs w:val="22"/>
        </w:rPr>
      </w:pPr>
      <w:r w:rsidRPr="00D21D8C">
        <w:rPr>
          <w:rFonts w:asciiTheme="majorBidi" w:hAnsiTheme="majorBidi" w:cstheme="majorBidi"/>
          <w:color w:val="000000"/>
          <w:szCs w:val="22"/>
          <w:u w:color="FFFFFF"/>
        </w:rPr>
        <w:t xml:space="preserve">Ernstige infecties, waaronder fatale </w:t>
      </w:r>
      <w:r w:rsidR="00495E7B" w:rsidRPr="00D21D8C">
        <w:rPr>
          <w:rFonts w:asciiTheme="majorBidi" w:hAnsiTheme="majorBidi" w:cstheme="majorBidi"/>
          <w:color w:val="000000"/>
          <w:szCs w:val="22"/>
          <w:u w:color="FFFFFF"/>
        </w:rPr>
        <w:t>gevallen</w:t>
      </w:r>
      <w:r w:rsidRPr="00D21D8C">
        <w:rPr>
          <w:rFonts w:asciiTheme="majorBidi" w:hAnsiTheme="majorBidi" w:cstheme="majorBidi"/>
          <w:color w:val="000000"/>
          <w:szCs w:val="22"/>
          <w:u w:color="FFFFFF"/>
        </w:rPr>
        <w:t xml:space="preserve">, zijn </w:t>
      </w:r>
      <w:r w:rsidR="00495E7B" w:rsidRPr="00D21D8C">
        <w:rPr>
          <w:rFonts w:asciiTheme="majorBidi" w:hAnsiTheme="majorBidi" w:cstheme="majorBidi"/>
          <w:color w:val="000000"/>
          <w:szCs w:val="22"/>
          <w:u w:color="FFFFFF"/>
        </w:rPr>
        <w:t xml:space="preserve">voorgekomen </w:t>
      </w:r>
      <w:r w:rsidRPr="00D21D8C">
        <w:rPr>
          <w:rFonts w:asciiTheme="majorBidi" w:hAnsiTheme="majorBidi" w:cstheme="majorBidi"/>
          <w:color w:val="000000"/>
          <w:szCs w:val="22"/>
          <w:u w:color="FFFFFF"/>
        </w:rPr>
        <w:t xml:space="preserve">bij patiënten die werden behandeld met Jaypirca. De </w:t>
      </w:r>
      <w:r w:rsidR="00495E7B" w:rsidRPr="00D21D8C">
        <w:rPr>
          <w:rFonts w:asciiTheme="majorBidi" w:hAnsiTheme="majorBidi" w:cstheme="majorBidi"/>
          <w:color w:val="000000"/>
          <w:szCs w:val="22"/>
          <w:u w:color="FFFFFF"/>
        </w:rPr>
        <w:t xml:space="preserve">meest </w:t>
      </w:r>
      <w:r w:rsidRPr="00D21D8C">
        <w:rPr>
          <w:rFonts w:asciiTheme="majorBidi" w:hAnsiTheme="majorBidi" w:cstheme="majorBidi"/>
          <w:color w:val="000000"/>
          <w:szCs w:val="22"/>
          <w:u w:color="FFFFFF"/>
        </w:rPr>
        <w:t>gemelde infecties van graad</w:t>
      </w:r>
      <w:r w:rsidR="00B533BF"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3 of hoger waren longontsteking, COVID</w:t>
      </w:r>
      <w:r w:rsidRPr="00D21D8C">
        <w:rPr>
          <w:rFonts w:asciiTheme="majorBidi" w:hAnsiTheme="majorBidi" w:cstheme="majorBidi"/>
          <w:color w:val="000000"/>
          <w:szCs w:val="22"/>
          <w:u w:color="FFFFFF"/>
        </w:rPr>
        <w:noBreakHyphen/>
        <w:t>19</w:t>
      </w:r>
      <w:r w:rsidR="00AC1BC5" w:rsidRPr="00D21D8C">
        <w:rPr>
          <w:rFonts w:asciiTheme="majorBidi" w:hAnsiTheme="majorBidi" w:cstheme="majorBidi"/>
          <w:color w:val="000000"/>
          <w:szCs w:val="22"/>
          <w:u w:color="FFFFFF"/>
        </w:rPr>
        <w:t>-</w:t>
      </w:r>
      <w:r w:rsidRPr="00D21D8C">
        <w:rPr>
          <w:rFonts w:asciiTheme="majorBidi" w:hAnsiTheme="majorBidi" w:cstheme="majorBidi"/>
          <w:color w:val="000000"/>
          <w:szCs w:val="22"/>
          <w:u w:color="FFFFFF"/>
        </w:rPr>
        <w:t>longontsteking, COVID</w:t>
      </w:r>
      <w:r w:rsidRPr="00D21D8C">
        <w:rPr>
          <w:rFonts w:asciiTheme="majorBidi" w:hAnsiTheme="majorBidi" w:cstheme="majorBidi"/>
          <w:color w:val="000000"/>
          <w:szCs w:val="22"/>
          <w:u w:color="FFFFFF"/>
        </w:rPr>
        <w:noBreakHyphen/>
        <w:t xml:space="preserve">19 en sepsis. </w:t>
      </w:r>
      <w:r w:rsidR="000A20C8" w:rsidRPr="00D21D8C">
        <w:rPr>
          <w:rFonts w:asciiTheme="majorBidi" w:hAnsiTheme="majorBidi" w:cstheme="majorBidi"/>
          <w:color w:val="000000"/>
          <w:szCs w:val="22"/>
          <w:u w:color="FFFFFF"/>
        </w:rPr>
        <w:t>Antimicrobiële p</w:t>
      </w:r>
      <w:r w:rsidRPr="00D21D8C">
        <w:rPr>
          <w:rFonts w:asciiTheme="majorBidi" w:hAnsiTheme="majorBidi" w:cstheme="majorBidi"/>
          <w:color w:val="000000"/>
          <w:szCs w:val="22"/>
          <w:u w:color="FFFFFF"/>
        </w:rPr>
        <w:t>rofylaxe</w:t>
      </w:r>
      <w:r w:rsidR="00055ACC" w:rsidRPr="00D21D8C">
        <w:rPr>
          <w:rFonts w:asciiTheme="majorBidi" w:hAnsiTheme="majorBidi" w:cstheme="majorBidi"/>
          <w:color w:val="000000"/>
          <w:szCs w:val="22"/>
          <w:u w:color="FFFFFF"/>
        </w:rPr>
        <w:t xml:space="preserve"> moet worden overwogen </w:t>
      </w:r>
      <w:r w:rsidRPr="00D21D8C">
        <w:rPr>
          <w:rFonts w:asciiTheme="majorBidi" w:hAnsiTheme="majorBidi" w:cstheme="majorBidi"/>
          <w:color w:val="000000"/>
          <w:szCs w:val="22"/>
          <w:u w:color="FFFFFF"/>
        </w:rPr>
        <w:t xml:space="preserve">bij patiënten met een </w:t>
      </w:r>
      <w:r w:rsidR="00495E7B" w:rsidRPr="00D21D8C">
        <w:rPr>
          <w:rFonts w:asciiTheme="majorBidi" w:hAnsiTheme="majorBidi" w:cstheme="majorBidi"/>
          <w:color w:val="000000"/>
          <w:szCs w:val="22"/>
          <w:u w:color="FFFFFF"/>
        </w:rPr>
        <w:t>verhoogd risico</w:t>
      </w:r>
      <w:r w:rsidRPr="00D21D8C">
        <w:rPr>
          <w:rFonts w:asciiTheme="majorBidi" w:hAnsiTheme="majorBidi" w:cstheme="majorBidi"/>
          <w:color w:val="000000"/>
          <w:szCs w:val="22"/>
          <w:u w:color="FFFFFF"/>
        </w:rPr>
        <w:t xml:space="preserve"> op opportunistische infecties. Op basis van de </w:t>
      </w:r>
      <w:r w:rsidR="00495E7B" w:rsidRPr="00D21D8C">
        <w:rPr>
          <w:rFonts w:asciiTheme="majorBidi" w:hAnsiTheme="majorBidi" w:cstheme="majorBidi"/>
          <w:color w:val="000000"/>
          <w:szCs w:val="22"/>
          <w:u w:color="FFFFFF"/>
        </w:rPr>
        <w:t xml:space="preserve">graad </w:t>
      </w:r>
      <w:r w:rsidRPr="00D21D8C">
        <w:rPr>
          <w:rFonts w:asciiTheme="majorBidi" w:hAnsiTheme="majorBidi" w:cstheme="majorBidi"/>
          <w:color w:val="000000"/>
          <w:szCs w:val="22"/>
          <w:u w:color="FFFFFF"/>
        </w:rPr>
        <w:t xml:space="preserve">van de infectie en als deze </w:t>
      </w:r>
      <w:r w:rsidR="00495E7B" w:rsidRPr="00D21D8C">
        <w:rPr>
          <w:rFonts w:asciiTheme="majorBidi" w:hAnsiTheme="majorBidi" w:cstheme="majorBidi"/>
          <w:color w:val="000000"/>
          <w:szCs w:val="22"/>
          <w:u w:color="FFFFFF"/>
        </w:rPr>
        <w:t xml:space="preserve">optreedt </w:t>
      </w:r>
      <w:r w:rsidRPr="00D21D8C">
        <w:rPr>
          <w:rFonts w:asciiTheme="majorBidi" w:hAnsiTheme="majorBidi" w:cstheme="majorBidi"/>
          <w:color w:val="000000"/>
          <w:szCs w:val="22"/>
          <w:u w:color="FFFFFF"/>
        </w:rPr>
        <w:t>met neutropenie, kan dosis</w:t>
      </w:r>
      <w:r w:rsidR="00055ACC" w:rsidRPr="00D21D8C">
        <w:rPr>
          <w:rFonts w:asciiTheme="majorBidi" w:hAnsiTheme="majorBidi" w:cstheme="majorBidi"/>
          <w:color w:val="000000"/>
          <w:szCs w:val="22"/>
          <w:u w:color="FFFFFF"/>
        </w:rPr>
        <w:t>onderbreking</w:t>
      </w:r>
      <w:r w:rsidRPr="00D21D8C">
        <w:rPr>
          <w:rFonts w:asciiTheme="majorBidi" w:hAnsiTheme="majorBidi" w:cstheme="majorBidi"/>
          <w:color w:val="000000"/>
          <w:szCs w:val="22"/>
          <w:u w:color="FFFFFF"/>
        </w:rPr>
        <w:t xml:space="preserve"> nodig zijn (zie rubriek</w:t>
      </w:r>
      <w:r w:rsidR="00B533BF"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 xml:space="preserve">4.2). </w:t>
      </w:r>
    </w:p>
    <w:p w14:paraId="6D22DBBE" w14:textId="77777777" w:rsidR="001A274F" w:rsidRPr="00D21D8C" w:rsidRDefault="001A274F">
      <w:pPr>
        <w:tabs>
          <w:tab w:val="clear" w:pos="567"/>
        </w:tabs>
        <w:spacing w:line="240" w:lineRule="auto"/>
        <w:rPr>
          <w:rFonts w:asciiTheme="majorBidi" w:hAnsiTheme="majorBidi" w:cstheme="majorBidi"/>
          <w:szCs w:val="22"/>
          <w:u w:val="single"/>
          <w:lang w:eastAsia="ja-JP"/>
        </w:rPr>
      </w:pPr>
    </w:p>
    <w:p w14:paraId="6D54ED53" w14:textId="751DA6CC" w:rsidR="001A274F" w:rsidRPr="00D21D8C" w:rsidRDefault="00E2006C">
      <w:pPr>
        <w:keepNext/>
        <w:tabs>
          <w:tab w:val="clear" w:pos="567"/>
        </w:tabs>
        <w:spacing w:line="240" w:lineRule="auto"/>
        <w:rPr>
          <w:rFonts w:asciiTheme="majorBidi" w:hAnsiTheme="majorBidi" w:cstheme="majorBidi"/>
          <w:szCs w:val="22"/>
          <w:u w:val="single"/>
        </w:rPr>
      </w:pPr>
      <w:r w:rsidRPr="00D21D8C">
        <w:rPr>
          <w:rFonts w:asciiTheme="majorBidi" w:hAnsiTheme="majorBidi" w:cstheme="majorBidi"/>
          <w:color w:val="000000"/>
          <w:szCs w:val="22"/>
          <w:u w:val="single" w:color="000000"/>
          <w:lang w:eastAsia="ja-JP"/>
        </w:rPr>
        <w:t xml:space="preserve">Hemorragie </w:t>
      </w:r>
      <w:r w:rsidR="00DA418A" w:rsidRPr="00D21D8C">
        <w:rPr>
          <w:rFonts w:asciiTheme="majorBidi" w:hAnsiTheme="majorBidi" w:cstheme="majorBidi"/>
          <w:color w:val="000000"/>
          <w:szCs w:val="22"/>
          <w:u w:val="single" w:color="FFFFFF"/>
          <w:lang w:eastAsia="ja-JP"/>
        </w:rPr>
        <w:br/>
      </w:r>
    </w:p>
    <w:p w14:paraId="6E21792B" w14:textId="28D42F6E" w:rsidR="001A274F" w:rsidRPr="00D21D8C" w:rsidRDefault="00DA418A">
      <w:pPr>
        <w:tabs>
          <w:tab w:val="clear" w:pos="567"/>
        </w:tabs>
        <w:spacing w:line="240" w:lineRule="auto"/>
        <w:rPr>
          <w:rFonts w:asciiTheme="majorBidi" w:hAnsiTheme="majorBidi" w:cstheme="majorBidi"/>
          <w:szCs w:val="22"/>
        </w:rPr>
      </w:pPr>
      <w:r w:rsidRPr="00D21D8C">
        <w:rPr>
          <w:rFonts w:asciiTheme="majorBidi" w:hAnsiTheme="majorBidi" w:cstheme="majorBidi"/>
          <w:color w:val="000000"/>
          <w:szCs w:val="22"/>
          <w:u w:color="FFFFFF"/>
        </w:rPr>
        <w:t xml:space="preserve">Bloedingen, waaronder fatale </w:t>
      </w:r>
      <w:r w:rsidR="00495E7B" w:rsidRPr="00D21D8C">
        <w:rPr>
          <w:rFonts w:asciiTheme="majorBidi" w:hAnsiTheme="majorBidi" w:cstheme="majorBidi"/>
          <w:color w:val="000000"/>
          <w:szCs w:val="22"/>
          <w:u w:color="FFFFFF"/>
        </w:rPr>
        <w:t>gevallen</w:t>
      </w:r>
      <w:r w:rsidRPr="00D21D8C">
        <w:rPr>
          <w:rFonts w:asciiTheme="majorBidi" w:hAnsiTheme="majorBidi" w:cstheme="majorBidi"/>
          <w:color w:val="000000"/>
          <w:szCs w:val="22"/>
          <w:u w:color="FFFFFF"/>
        </w:rPr>
        <w:t xml:space="preserve">, zijn </w:t>
      </w:r>
      <w:r w:rsidR="00495E7B" w:rsidRPr="00D21D8C">
        <w:rPr>
          <w:rFonts w:asciiTheme="majorBidi" w:hAnsiTheme="majorBidi" w:cstheme="majorBidi"/>
          <w:color w:val="000000"/>
          <w:szCs w:val="22"/>
          <w:u w:color="FFFFFF"/>
        </w:rPr>
        <w:t xml:space="preserve">voorgekomen </w:t>
      </w:r>
      <w:r w:rsidRPr="00D21D8C">
        <w:rPr>
          <w:rFonts w:asciiTheme="majorBidi" w:hAnsiTheme="majorBidi" w:cstheme="majorBidi"/>
          <w:color w:val="000000"/>
          <w:szCs w:val="22"/>
          <w:u w:color="FFFFFF"/>
        </w:rPr>
        <w:t xml:space="preserve">bij patiënten die werden behandeld met Jaypirca, met en zonder trombocytopenie. Er werden ernstige </w:t>
      </w:r>
      <w:r w:rsidR="00495E7B" w:rsidRPr="00D21D8C">
        <w:rPr>
          <w:rFonts w:asciiTheme="majorBidi" w:hAnsiTheme="majorBidi" w:cstheme="majorBidi"/>
          <w:color w:val="000000"/>
          <w:szCs w:val="22"/>
          <w:u w:color="FFFFFF"/>
        </w:rPr>
        <w:t xml:space="preserve">bloedingen </w:t>
      </w:r>
      <w:r w:rsidRPr="00D21D8C">
        <w:rPr>
          <w:rFonts w:asciiTheme="majorBidi" w:hAnsiTheme="majorBidi" w:cstheme="majorBidi"/>
          <w:color w:val="000000"/>
          <w:szCs w:val="22"/>
          <w:u w:color="FFFFFF"/>
        </w:rPr>
        <w:t>van graad</w:t>
      </w:r>
      <w:r w:rsidR="00B533BF"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3 of hoger</w:t>
      </w:r>
      <w:r w:rsidR="003C6A47" w:rsidRPr="00D21D8C">
        <w:rPr>
          <w:rFonts w:asciiTheme="majorBidi" w:hAnsiTheme="majorBidi" w:cstheme="majorBidi"/>
          <w:color w:val="000000"/>
          <w:szCs w:val="22"/>
          <w:u w:color="FFFFFF"/>
        </w:rPr>
        <w:t xml:space="preserve"> waargenomen</w:t>
      </w:r>
      <w:r w:rsidRPr="00D21D8C">
        <w:rPr>
          <w:rFonts w:asciiTheme="majorBidi" w:hAnsiTheme="majorBidi" w:cstheme="majorBidi"/>
          <w:color w:val="000000"/>
          <w:szCs w:val="22"/>
          <w:u w:color="FFFFFF"/>
        </w:rPr>
        <w:t xml:space="preserve">, waaronder gastro-intestinale bloeding en intracraniële bloeding. Patiënten moeten </w:t>
      </w:r>
      <w:r w:rsidR="00E2006C" w:rsidRPr="00D21D8C">
        <w:rPr>
          <w:rFonts w:asciiTheme="majorBidi" w:hAnsiTheme="majorBidi" w:cstheme="majorBidi"/>
          <w:color w:val="000000"/>
          <w:szCs w:val="22"/>
          <w:u w:color="FFFFFF"/>
        </w:rPr>
        <w:t xml:space="preserve">worden gecontroleerd op </w:t>
      </w:r>
      <w:r w:rsidR="00AC1BC5" w:rsidRPr="00D21D8C">
        <w:rPr>
          <w:rFonts w:asciiTheme="majorBidi" w:hAnsiTheme="majorBidi" w:cstheme="majorBidi"/>
          <w:color w:val="000000"/>
          <w:szCs w:val="22"/>
          <w:u w:color="FFFFFF"/>
        </w:rPr>
        <w:t xml:space="preserve">klachten </w:t>
      </w:r>
      <w:r w:rsidRPr="00D21D8C">
        <w:rPr>
          <w:rFonts w:asciiTheme="majorBidi" w:hAnsiTheme="majorBidi" w:cstheme="majorBidi"/>
          <w:color w:val="000000"/>
          <w:szCs w:val="22"/>
          <w:u w:color="FFFFFF"/>
        </w:rPr>
        <w:t>en symptomen van bloeding</w:t>
      </w:r>
      <w:r w:rsidR="00E2006C" w:rsidRPr="00D21D8C">
        <w:rPr>
          <w:rFonts w:asciiTheme="majorBidi" w:hAnsiTheme="majorBidi" w:cstheme="majorBidi"/>
          <w:color w:val="000000"/>
          <w:szCs w:val="22"/>
          <w:u w:color="FFFFFF"/>
        </w:rPr>
        <w:t>en</w:t>
      </w:r>
      <w:r w:rsidRPr="00D21D8C">
        <w:rPr>
          <w:rFonts w:asciiTheme="majorBidi" w:hAnsiTheme="majorBidi" w:cstheme="majorBidi"/>
          <w:color w:val="000000"/>
          <w:szCs w:val="22"/>
          <w:u w:color="FFFFFF"/>
        </w:rPr>
        <w:t xml:space="preserve">. Patiënten die anticoagulantia of </w:t>
      </w:r>
      <w:r w:rsidR="00E2006C" w:rsidRPr="00D21D8C">
        <w:rPr>
          <w:rFonts w:asciiTheme="majorBidi" w:hAnsiTheme="majorBidi" w:cstheme="majorBidi"/>
          <w:color w:val="000000"/>
          <w:szCs w:val="22"/>
          <w:u w:color="FFFFFF"/>
        </w:rPr>
        <w:t>plaatjesaggregatieremmers krijgen</w:t>
      </w:r>
      <w:r w:rsidRPr="00D21D8C">
        <w:rPr>
          <w:rFonts w:asciiTheme="majorBidi" w:hAnsiTheme="majorBidi" w:cstheme="majorBidi"/>
          <w:color w:val="000000"/>
          <w:szCs w:val="22"/>
          <w:u w:color="FFFFFF"/>
        </w:rPr>
        <w:t xml:space="preserve">, kunnen een verhoogd risico hebben op hemorragie. </w:t>
      </w:r>
      <w:r w:rsidR="00055ACC" w:rsidRPr="00D21D8C">
        <w:rPr>
          <w:rFonts w:asciiTheme="majorBidi" w:hAnsiTheme="majorBidi" w:cstheme="majorBidi"/>
          <w:color w:val="000000"/>
          <w:szCs w:val="22"/>
          <w:u w:color="FFFFFF"/>
        </w:rPr>
        <w:t>D</w:t>
      </w:r>
      <w:r w:rsidRPr="00D21D8C">
        <w:rPr>
          <w:rFonts w:asciiTheme="majorBidi" w:hAnsiTheme="majorBidi" w:cstheme="majorBidi"/>
          <w:color w:val="000000"/>
          <w:szCs w:val="22"/>
          <w:u w:color="FFFFFF"/>
        </w:rPr>
        <w:t xml:space="preserve">e risico’s en voordelen van het gebruik van anticoagulantia of </w:t>
      </w:r>
      <w:r w:rsidR="00E2006C" w:rsidRPr="00D21D8C">
        <w:rPr>
          <w:rFonts w:asciiTheme="majorBidi" w:hAnsiTheme="majorBidi" w:cstheme="majorBidi"/>
          <w:color w:val="000000"/>
          <w:szCs w:val="22"/>
          <w:u w:color="FFFFFF"/>
        </w:rPr>
        <w:t xml:space="preserve">plaatjesaggregatieremmers </w:t>
      </w:r>
      <w:r w:rsidRPr="00D21D8C">
        <w:rPr>
          <w:rFonts w:asciiTheme="majorBidi" w:hAnsiTheme="majorBidi" w:cstheme="majorBidi"/>
          <w:color w:val="000000"/>
          <w:szCs w:val="22"/>
          <w:u w:color="FFFFFF"/>
        </w:rPr>
        <w:t xml:space="preserve">bij gelijktijdige toediening </w:t>
      </w:r>
      <w:r w:rsidR="00E2006C" w:rsidRPr="00D21D8C">
        <w:rPr>
          <w:rFonts w:asciiTheme="majorBidi" w:hAnsiTheme="majorBidi" w:cstheme="majorBidi"/>
          <w:color w:val="000000"/>
          <w:szCs w:val="22"/>
          <w:u w:color="FFFFFF"/>
        </w:rPr>
        <w:t xml:space="preserve">met </w:t>
      </w:r>
      <w:r w:rsidRPr="00D21D8C">
        <w:rPr>
          <w:rFonts w:asciiTheme="majorBidi" w:hAnsiTheme="majorBidi" w:cstheme="majorBidi"/>
          <w:color w:val="000000"/>
          <w:szCs w:val="22"/>
          <w:u w:color="FFFFFF"/>
        </w:rPr>
        <w:t xml:space="preserve">Jaypirca </w:t>
      </w:r>
      <w:r w:rsidR="00055ACC" w:rsidRPr="00D21D8C">
        <w:rPr>
          <w:rFonts w:asciiTheme="majorBidi" w:hAnsiTheme="majorBidi" w:cstheme="majorBidi"/>
          <w:color w:val="000000"/>
          <w:szCs w:val="22"/>
          <w:u w:color="FFFFFF"/>
        </w:rPr>
        <w:t xml:space="preserve">moeten overwogen worden </w:t>
      </w:r>
      <w:r w:rsidRPr="00D21D8C">
        <w:rPr>
          <w:rFonts w:asciiTheme="majorBidi" w:hAnsiTheme="majorBidi" w:cstheme="majorBidi"/>
          <w:color w:val="000000"/>
          <w:szCs w:val="22"/>
          <w:u w:color="FFFFFF"/>
        </w:rPr>
        <w:t xml:space="preserve">en overweeg </w:t>
      </w:r>
      <w:r w:rsidR="00571A31" w:rsidRPr="00D21D8C">
        <w:rPr>
          <w:rFonts w:asciiTheme="majorBidi" w:hAnsiTheme="majorBidi" w:cstheme="majorBidi"/>
          <w:color w:val="000000"/>
          <w:szCs w:val="22"/>
          <w:u w:color="FFFFFF"/>
        </w:rPr>
        <w:t xml:space="preserve">extra </w:t>
      </w:r>
      <w:r w:rsidRPr="00D21D8C">
        <w:rPr>
          <w:rFonts w:asciiTheme="majorBidi" w:hAnsiTheme="majorBidi" w:cstheme="majorBidi"/>
          <w:color w:val="000000"/>
          <w:szCs w:val="22"/>
          <w:u w:color="FFFFFF"/>
        </w:rPr>
        <w:t xml:space="preserve">controle op tekenen van </w:t>
      </w:r>
      <w:r w:rsidR="00E2006C" w:rsidRPr="00D21D8C">
        <w:rPr>
          <w:rFonts w:asciiTheme="majorBidi" w:hAnsiTheme="majorBidi" w:cstheme="majorBidi"/>
          <w:color w:val="000000"/>
          <w:szCs w:val="22"/>
          <w:u w:color="FFFFFF"/>
        </w:rPr>
        <w:t>bloedingen</w:t>
      </w:r>
      <w:r w:rsidRPr="00D21D8C">
        <w:rPr>
          <w:rFonts w:asciiTheme="majorBidi" w:hAnsiTheme="majorBidi" w:cstheme="majorBidi"/>
          <w:color w:val="000000"/>
          <w:szCs w:val="22"/>
          <w:u w:color="FFFFFF"/>
        </w:rPr>
        <w:t>. Het gebruik van Jaypirca met warfarine of andere vitamine K-antagonisten</w:t>
      </w:r>
      <w:r w:rsidR="00E2006C" w:rsidRPr="00D21D8C">
        <w:rPr>
          <w:rFonts w:asciiTheme="majorBidi" w:hAnsiTheme="majorBidi" w:cstheme="majorBidi"/>
          <w:color w:val="000000"/>
          <w:szCs w:val="22"/>
          <w:u w:color="FFFFFF"/>
        </w:rPr>
        <w:t xml:space="preserve"> is niet onderzocht</w:t>
      </w:r>
      <w:r w:rsidRPr="00D21D8C">
        <w:rPr>
          <w:rFonts w:asciiTheme="majorBidi" w:hAnsiTheme="majorBidi" w:cstheme="majorBidi"/>
          <w:color w:val="000000"/>
          <w:szCs w:val="22"/>
          <w:u w:color="FFFFFF"/>
        </w:rPr>
        <w:t>.</w:t>
      </w:r>
      <w:bookmarkStart w:id="1" w:name="_Hlk120795171"/>
    </w:p>
    <w:p w14:paraId="153255BE" w14:textId="4BAD6F35" w:rsidR="001A274F" w:rsidRPr="00D21D8C" w:rsidRDefault="00E2006C">
      <w:pPr>
        <w:keepNext/>
        <w:tabs>
          <w:tab w:val="clear" w:pos="567"/>
        </w:tabs>
        <w:spacing w:line="240" w:lineRule="auto"/>
        <w:rPr>
          <w:rFonts w:asciiTheme="majorBidi" w:hAnsiTheme="majorBidi" w:cstheme="majorBidi"/>
          <w:szCs w:val="22"/>
        </w:rPr>
      </w:pPr>
      <w:r w:rsidRPr="00D21D8C">
        <w:rPr>
          <w:rFonts w:asciiTheme="majorBidi" w:hAnsiTheme="majorBidi" w:cstheme="majorBidi"/>
          <w:color w:val="000000"/>
          <w:szCs w:val="22"/>
          <w:u w:color="FFFFFF"/>
        </w:rPr>
        <w:t>D</w:t>
      </w:r>
      <w:r w:rsidR="00DA418A" w:rsidRPr="00D21D8C">
        <w:rPr>
          <w:rFonts w:asciiTheme="majorBidi" w:hAnsiTheme="majorBidi" w:cstheme="majorBidi"/>
          <w:color w:val="000000"/>
          <w:szCs w:val="22"/>
          <w:u w:color="FFFFFF"/>
        </w:rPr>
        <w:t>osis</w:t>
      </w:r>
      <w:r w:rsidR="007C7F67" w:rsidRPr="00D21D8C">
        <w:rPr>
          <w:rFonts w:asciiTheme="majorBidi" w:hAnsiTheme="majorBidi" w:cstheme="majorBidi"/>
          <w:color w:val="000000"/>
          <w:szCs w:val="22"/>
          <w:u w:color="FFFFFF"/>
        </w:rPr>
        <w:t>onderbreking</w:t>
      </w:r>
      <w:r w:rsidR="00DA418A" w:rsidRPr="00D21D8C">
        <w:rPr>
          <w:rFonts w:asciiTheme="majorBidi" w:hAnsiTheme="majorBidi" w:cstheme="majorBidi"/>
          <w:color w:val="000000"/>
          <w:szCs w:val="22"/>
          <w:u w:color="FFFFFF"/>
        </w:rPr>
        <w:t xml:space="preserve"> kan </w:t>
      </w:r>
      <w:r w:rsidRPr="00D21D8C">
        <w:rPr>
          <w:rFonts w:asciiTheme="majorBidi" w:hAnsiTheme="majorBidi" w:cstheme="majorBidi"/>
          <w:color w:val="000000"/>
          <w:szCs w:val="22"/>
          <w:u w:color="FFFFFF"/>
        </w:rPr>
        <w:t xml:space="preserve">noodzakelijk </w:t>
      </w:r>
      <w:r w:rsidR="00DA418A" w:rsidRPr="00D21D8C">
        <w:rPr>
          <w:rFonts w:asciiTheme="majorBidi" w:hAnsiTheme="majorBidi" w:cstheme="majorBidi"/>
          <w:color w:val="000000"/>
          <w:szCs w:val="22"/>
          <w:u w:color="FFFFFF"/>
        </w:rPr>
        <w:t xml:space="preserve">zijn voor </w:t>
      </w:r>
      <w:bookmarkEnd w:id="1"/>
      <w:r w:rsidRPr="00D21D8C">
        <w:rPr>
          <w:rFonts w:asciiTheme="majorBidi" w:hAnsiTheme="majorBidi" w:cstheme="majorBidi"/>
          <w:color w:val="000000"/>
          <w:szCs w:val="22"/>
          <w:u w:color="FFFFFF"/>
        </w:rPr>
        <w:t xml:space="preserve">bloedingen </w:t>
      </w:r>
      <w:r w:rsidR="00DA418A" w:rsidRPr="00D21D8C">
        <w:rPr>
          <w:rFonts w:asciiTheme="majorBidi" w:hAnsiTheme="majorBidi" w:cstheme="majorBidi"/>
          <w:color w:val="000000"/>
          <w:szCs w:val="22"/>
          <w:u w:color="FFFFFF"/>
        </w:rPr>
        <w:t>van graad</w:t>
      </w:r>
      <w:r w:rsidR="00B533BF" w:rsidRPr="00D21D8C">
        <w:rPr>
          <w:rFonts w:asciiTheme="majorBidi" w:hAnsiTheme="majorBidi" w:cstheme="majorBidi"/>
          <w:color w:val="000000"/>
          <w:szCs w:val="22"/>
          <w:u w:color="FFFFFF"/>
        </w:rPr>
        <w:t> </w:t>
      </w:r>
      <w:r w:rsidR="00DA418A" w:rsidRPr="00D21D8C">
        <w:rPr>
          <w:rFonts w:asciiTheme="majorBidi" w:hAnsiTheme="majorBidi" w:cstheme="majorBidi"/>
          <w:color w:val="000000"/>
          <w:szCs w:val="22"/>
          <w:u w:color="FFFFFF"/>
        </w:rPr>
        <w:t>3 of 4 (zie rubriek</w:t>
      </w:r>
      <w:r w:rsidR="00B533BF" w:rsidRPr="00D21D8C">
        <w:rPr>
          <w:rFonts w:asciiTheme="majorBidi" w:hAnsiTheme="majorBidi" w:cstheme="majorBidi"/>
          <w:color w:val="000000"/>
          <w:szCs w:val="22"/>
          <w:u w:color="FFFFFF"/>
        </w:rPr>
        <w:t> </w:t>
      </w:r>
      <w:r w:rsidR="00DA418A" w:rsidRPr="00D21D8C">
        <w:rPr>
          <w:rFonts w:asciiTheme="majorBidi" w:hAnsiTheme="majorBidi" w:cstheme="majorBidi"/>
          <w:color w:val="000000"/>
          <w:szCs w:val="22"/>
          <w:u w:color="FFFFFF"/>
        </w:rPr>
        <w:t xml:space="preserve">4.2). </w:t>
      </w:r>
    </w:p>
    <w:p w14:paraId="47101BE3" w14:textId="77777777" w:rsidR="001A274F" w:rsidRPr="00D21D8C" w:rsidRDefault="001A274F">
      <w:pPr>
        <w:tabs>
          <w:tab w:val="clear" w:pos="567"/>
        </w:tabs>
        <w:spacing w:line="240" w:lineRule="auto"/>
        <w:rPr>
          <w:rFonts w:asciiTheme="majorBidi" w:hAnsiTheme="majorBidi" w:cstheme="majorBidi"/>
          <w:szCs w:val="22"/>
        </w:rPr>
      </w:pPr>
    </w:p>
    <w:p w14:paraId="500AA057" w14:textId="4083D4A4" w:rsidR="001A274F" w:rsidRPr="00D21D8C" w:rsidRDefault="007C7F67">
      <w:pPr>
        <w:tabs>
          <w:tab w:val="clear" w:pos="567"/>
        </w:tabs>
        <w:spacing w:line="240" w:lineRule="auto"/>
        <w:rPr>
          <w:rFonts w:asciiTheme="majorBidi" w:hAnsiTheme="majorBidi" w:cstheme="majorBidi"/>
          <w:szCs w:val="22"/>
        </w:rPr>
      </w:pPr>
      <w:r w:rsidRPr="00D21D8C">
        <w:rPr>
          <w:rFonts w:asciiTheme="majorBidi" w:hAnsiTheme="majorBidi" w:cstheme="majorBidi"/>
          <w:color w:val="000000"/>
          <w:szCs w:val="22"/>
          <w:u w:color="FFFFFF"/>
        </w:rPr>
        <w:t>D</w:t>
      </w:r>
      <w:r w:rsidR="00DA418A" w:rsidRPr="00D21D8C">
        <w:rPr>
          <w:rFonts w:asciiTheme="majorBidi" w:hAnsiTheme="majorBidi" w:cstheme="majorBidi"/>
          <w:color w:val="000000"/>
          <w:szCs w:val="22"/>
          <w:u w:color="FFFFFF"/>
        </w:rPr>
        <w:t>e voordelen en risico</w:t>
      </w:r>
      <w:r w:rsidR="00F16EB3" w:rsidRPr="00D21D8C">
        <w:rPr>
          <w:rFonts w:asciiTheme="majorBidi" w:hAnsiTheme="majorBidi" w:cstheme="majorBidi"/>
          <w:color w:val="000000"/>
          <w:szCs w:val="22"/>
          <w:u w:color="FFFFFF"/>
        </w:rPr>
        <w:t>’</w:t>
      </w:r>
      <w:r w:rsidR="00DA418A" w:rsidRPr="00D21D8C">
        <w:rPr>
          <w:rFonts w:asciiTheme="majorBidi" w:hAnsiTheme="majorBidi" w:cstheme="majorBidi"/>
          <w:color w:val="000000"/>
          <w:szCs w:val="22"/>
          <w:u w:color="FFFFFF"/>
        </w:rPr>
        <w:t xml:space="preserve">s van het </w:t>
      </w:r>
      <w:r w:rsidR="00DE5B91" w:rsidRPr="00D21D8C">
        <w:rPr>
          <w:rFonts w:asciiTheme="majorBidi" w:hAnsiTheme="majorBidi" w:cstheme="majorBidi"/>
          <w:color w:val="000000"/>
          <w:szCs w:val="22"/>
          <w:u w:color="FFFFFF"/>
        </w:rPr>
        <w:t>onderbreken</w:t>
      </w:r>
      <w:r w:rsidR="00DA418A" w:rsidRPr="00D21D8C">
        <w:rPr>
          <w:rFonts w:asciiTheme="majorBidi" w:hAnsiTheme="majorBidi" w:cstheme="majorBidi"/>
          <w:color w:val="000000"/>
          <w:szCs w:val="22"/>
          <w:u w:color="FFFFFF"/>
        </w:rPr>
        <w:t xml:space="preserve"> van Jaypirca gedurende 3 tot 5 dagen vóór en na een operatie</w:t>
      </w:r>
      <w:r w:rsidRPr="00D21D8C">
        <w:rPr>
          <w:rFonts w:asciiTheme="majorBidi" w:hAnsiTheme="majorBidi" w:cstheme="majorBidi"/>
          <w:color w:val="000000"/>
          <w:szCs w:val="22"/>
          <w:u w:color="FFFFFF"/>
        </w:rPr>
        <w:t xml:space="preserve"> moeten overwogen worden</w:t>
      </w:r>
      <w:r w:rsidR="00DA418A" w:rsidRPr="00D21D8C">
        <w:rPr>
          <w:rFonts w:asciiTheme="majorBidi" w:hAnsiTheme="majorBidi" w:cstheme="majorBidi"/>
          <w:color w:val="000000"/>
          <w:szCs w:val="22"/>
          <w:u w:color="FFFFFF"/>
        </w:rPr>
        <w:t xml:space="preserve">, afhankelijk van </w:t>
      </w:r>
      <w:r w:rsidR="00E2006C" w:rsidRPr="00D21D8C">
        <w:rPr>
          <w:rFonts w:asciiTheme="majorBidi" w:hAnsiTheme="majorBidi" w:cstheme="majorBidi"/>
          <w:color w:val="000000"/>
          <w:szCs w:val="22"/>
          <w:u w:color="FFFFFF"/>
        </w:rPr>
        <w:t>het type</w:t>
      </w:r>
      <w:r w:rsidR="00DA418A" w:rsidRPr="00D21D8C">
        <w:rPr>
          <w:rFonts w:asciiTheme="majorBidi" w:hAnsiTheme="majorBidi" w:cstheme="majorBidi"/>
          <w:color w:val="000000"/>
          <w:szCs w:val="22"/>
          <w:u w:color="FFFFFF"/>
        </w:rPr>
        <w:t xml:space="preserve"> operatie en het risico op bloedingen. </w:t>
      </w:r>
    </w:p>
    <w:p w14:paraId="42B61162" w14:textId="77777777" w:rsidR="001A274F" w:rsidRPr="00D21D8C" w:rsidRDefault="001A274F">
      <w:pPr>
        <w:tabs>
          <w:tab w:val="clear" w:pos="567"/>
        </w:tabs>
        <w:spacing w:line="240" w:lineRule="auto"/>
        <w:rPr>
          <w:rFonts w:asciiTheme="majorBidi" w:hAnsiTheme="majorBidi" w:cstheme="majorBidi"/>
          <w:szCs w:val="22"/>
        </w:rPr>
      </w:pPr>
    </w:p>
    <w:p w14:paraId="5DC5A608" w14:textId="77777777" w:rsidR="001A274F" w:rsidRPr="00D21D8C" w:rsidRDefault="00DA418A">
      <w:pPr>
        <w:keepNext/>
        <w:tabs>
          <w:tab w:val="clear" w:pos="567"/>
        </w:tabs>
        <w:spacing w:line="240" w:lineRule="auto"/>
        <w:rPr>
          <w:rFonts w:asciiTheme="majorBidi" w:hAnsiTheme="majorBidi" w:cstheme="majorBidi"/>
          <w:szCs w:val="22"/>
          <w:u w:val="single"/>
        </w:rPr>
      </w:pPr>
      <w:r w:rsidRPr="00D21D8C">
        <w:rPr>
          <w:rFonts w:asciiTheme="majorBidi" w:hAnsiTheme="majorBidi" w:cstheme="majorBidi"/>
          <w:color w:val="000000"/>
          <w:szCs w:val="22"/>
          <w:u w:val="single" w:color="000000"/>
          <w:lang w:eastAsia="ja-JP"/>
        </w:rPr>
        <w:t>Cytopenieën</w:t>
      </w:r>
      <w:r w:rsidRPr="00D21D8C">
        <w:rPr>
          <w:rFonts w:asciiTheme="majorBidi" w:hAnsiTheme="majorBidi" w:cstheme="majorBidi"/>
          <w:color w:val="000000"/>
          <w:szCs w:val="22"/>
          <w:u w:val="single" w:color="FFFFFF"/>
          <w:lang w:eastAsia="ja-JP"/>
        </w:rPr>
        <w:br/>
      </w:r>
    </w:p>
    <w:p w14:paraId="027F5B0D" w14:textId="719F1C5B" w:rsidR="001A274F" w:rsidRPr="00D21D8C" w:rsidRDefault="00AC1BC5">
      <w:pPr>
        <w:keepNext/>
        <w:tabs>
          <w:tab w:val="clear" w:pos="567"/>
        </w:tabs>
        <w:spacing w:line="240" w:lineRule="auto"/>
        <w:rPr>
          <w:rFonts w:asciiTheme="majorBidi" w:hAnsiTheme="majorBidi" w:cstheme="majorBidi"/>
          <w:iCs/>
          <w:szCs w:val="22"/>
        </w:rPr>
      </w:pPr>
      <w:r w:rsidRPr="00D21D8C">
        <w:rPr>
          <w:rFonts w:asciiTheme="majorBidi" w:hAnsiTheme="majorBidi" w:cstheme="majorBidi"/>
          <w:iCs/>
          <w:color w:val="000000"/>
          <w:szCs w:val="22"/>
          <w:u w:color="FFFFFF"/>
        </w:rPr>
        <w:t>Cytopenieën van g</w:t>
      </w:r>
      <w:r w:rsidR="00DA418A" w:rsidRPr="00D21D8C">
        <w:rPr>
          <w:rFonts w:asciiTheme="majorBidi" w:hAnsiTheme="majorBidi" w:cstheme="majorBidi"/>
          <w:iCs/>
          <w:color w:val="000000"/>
          <w:szCs w:val="22"/>
          <w:u w:color="FFFFFF"/>
        </w:rPr>
        <w:t>raad</w:t>
      </w:r>
      <w:r w:rsidR="00B533BF" w:rsidRPr="00D21D8C">
        <w:rPr>
          <w:rFonts w:asciiTheme="majorBidi" w:hAnsiTheme="majorBidi" w:cstheme="majorBidi"/>
          <w:iCs/>
          <w:color w:val="000000"/>
          <w:szCs w:val="22"/>
          <w:u w:color="FFFFFF"/>
        </w:rPr>
        <w:t> </w:t>
      </w:r>
      <w:r w:rsidR="00DA418A" w:rsidRPr="00D21D8C">
        <w:rPr>
          <w:rFonts w:asciiTheme="majorBidi" w:hAnsiTheme="majorBidi" w:cstheme="majorBidi"/>
          <w:iCs/>
          <w:color w:val="000000"/>
          <w:szCs w:val="22"/>
          <w:u w:color="FFFFFF"/>
        </w:rPr>
        <w:t>3 of 4, waaronder neutropenie, anemie en trombocytopenie</w:t>
      </w:r>
      <w:r w:rsidR="00E2006C" w:rsidRPr="00D21D8C">
        <w:rPr>
          <w:rFonts w:asciiTheme="majorBidi" w:hAnsiTheme="majorBidi" w:cstheme="majorBidi"/>
          <w:iCs/>
          <w:color w:val="000000"/>
          <w:szCs w:val="22"/>
          <w:u w:color="FFFFFF"/>
        </w:rPr>
        <w:t>,</w:t>
      </w:r>
      <w:r w:rsidR="00DA418A" w:rsidRPr="00D21D8C">
        <w:rPr>
          <w:rFonts w:asciiTheme="majorBidi" w:hAnsiTheme="majorBidi" w:cstheme="majorBidi"/>
          <w:iCs/>
          <w:color w:val="000000"/>
          <w:szCs w:val="22"/>
          <w:u w:color="FFFFFF"/>
        </w:rPr>
        <w:t xml:space="preserve"> traden op bij patiënten die werden behandeld met Jaypirca. </w:t>
      </w:r>
      <w:r w:rsidR="007C7F67" w:rsidRPr="00D21D8C">
        <w:rPr>
          <w:rFonts w:asciiTheme="majorBidi" w:hAnsiTheme="majorBidi" w:cstheme="majorBidi"/>
          <w:iCs/>
          <w:color w:val="000000"/>
          <w:szCs w:val="22"/>
          <w:u w:color="FFFFFF"/>
        </w:rPr>
        <w:t>H</w:t>
      </w:r>
      <w:r w:rsidR="00DA418A" w:rsidRPr="00D21D8C">
        <w:rPr>
          <w:rFonts w:asciiTheme="majorBidi" w:hAnsiTheme="majorBidi" w:cstheme="majorBidi"/>
          <w:iCs/>
          <w:color w:val="000000"/>
          <w:szCs w:val="22"/>
          <w:u w:color="FFFFFF"/>
        </w:rPr>
        <w:t xml:space="preserve">et volledig bloedbeeld </w:t>
      </w:r>
      <w:r w:rsidR="007C7F67" w:rsidRPr="00D21D8C">
        <w:rPr>
          <w:rFonts w:asciiTheme="majorBidi" w:hAnsiTheme="majorBidi" w:cstheme="majorBidi"/>
          <w:iCs/>
          <w:color w:val="000000"/>
          <w:szCs w:val="22"/>
          <w:u w:color="FFFFFF"/>
        </w:rPr>
        <w:t xml:space="preserve">dient gecontroleerd te worden bij patiënten </w:t>
      </w:r>
      <w:r w:rsidR="00DA418A" w:rsidRPr="00D21D8C">
        <w:rPr>
          <w:rFonts w:asciiTheme="majorBidi" w:hAnsiTheme="majorBidi" w:cstheme="majorBidi"/>
          <w:iCs/>
          <w:color w:val="000000"/>
          <w:szCs w:val="22"/>
          <w:u w:color="FFFFFF"/>
        </w:rPr>
        <w:t xml:space="preserve">tijdens de behandeling </w:t>
      </w:r>
      <w:r w:rsidRPr="00D21D8C">
        <w:rPr>
          <w:rFonts w:asciiTheme="majorBidi" w:hAnsiTheme="majorBidi" w:cstheme="majorBidi"/>
          <w:iCs/>
          <w:color w:val="000000"/>
          <w:szCs w:val="22"/>
          <w:u w:color="FFFFFF"/>
        </w:rPr>
        <w:t xml:space="preserve">indien </w:t>
      </w:r>
      <w:r w:rsidR="00DA418A" w:rsidRPr="00D21D8C">
        <w:rPr>
          <w:rFonts w:asciiTheme="majorBidi" w:hAnsiTheme="majorBidi" w:cstheme="majorBidi"/>
          <w:iCs/>
          <w:color w:val="000000"/>
          <w:szCs w:val="22"/>
          <w:u w:color="FFFFFF"/>
        </w:rPr>
        <w:t xml:space="preserve">medisch geïndiceerd. Op basis van de </w:t>
      </w:r>
      <w:r w:rsidR="00E2006C" w:rsidRPr="00D21D8C">
        <w:rPr>
          <w:rFonts w:asciiTheme="majorBidi" w:hAnsiTheme="majorBidi" w:cstheme="majorBidi"/>
          <w:iCs/>
          <w:color w:val="000000"/>
          <w:szCs w:val="22"/>
          <w:u w:color="FFFFFF"/>
        </w:rPr>
        <w:t xml:space="preserve">graad </w:t>
      </w:r>
      <w:r w:rsidR="00DA418A" w:rsidRPr="00D21D8C">
        <w:rPr>
          <w:rFonts w:asciiTheme="majorBidi" w:hAnsiTheme="majorBidi" w:cstheme="majorBidi"/>
          <w:iCs/>
          <w:color w:val="000000"/>
          <w:szCs w:val="22"/>
          <w:u w:color="FFFFFF"/>
        </w:rPr>
        <w:t>van cytopenie kan dosis</w:t>
      </w:r>
      <w:r w:rsidR="007C7F67" w:rsidRPr="00D21D8C">
        <w:rPr>
          <w:rFonts w:asciiTheme="majorBidi" w:hAnsiTheme="majorBidi" w:cstheme="majorBidi"/>
          <w:iCs/>
          <w:color w:val="000000"/>
          <w:szCs w:val="22"/>
          <w:u w:color="FFFFFF"/>
        </w:rPr>
        <w:t>onderbreking</w:t>
      </w:r>
      <w:r w:rsidR="00DA418A" w:rsidRPr="00D21D8C">
        <w:rPr>
          <w:rFonts w:asciiTheme="majorBidi" w:hAnsiTheme="majorBidi" w:cstheme="majorBidi"/>
          <w:iCs/>
          <w:color w:val="000000"/>
          <w:szCs w:val="22"/>
          <w:u w:color="FFFFFF"/>
        </w:rPr>
        <w:t xml:space="preserve"> </w:t>
      </w:r>
      <w:r w:rsidR="0018519F" w:rsidRPr="00D21D8C">
        <w:rPr>
          <w:rFonts w:asciiTheme="majorBidi" w:hAnsiTheme="majorBidi" w:cstheme="majorBidi"/>
          <w:iCs/>
          <w:color w:val="000000"/>
          <w:szCs w:val="22"/>
          <w:u w:color="FFFFFF"/>
        </w:rPr>
        <w:t xml:space="preserve">noodzakelijk </w:t>
      </w:r>
      <w:r w:rsidR="00DA418A" w:rsidRPr="00D21D8C">
        <w:rPr>
          <w:rFonts w:asciiTheme="majorBidi" w:hAnsiTheme="majorBidi" w:cstheme="majorBidi"/>
          <w:iCs/>
          <w:color w:val="000000"/>
          <w:szCs w:val="22"/>
          <w:u w:color="FFFFFF"/>
        </w:rPr>
        <w:t>zijn (zie rubriek</w:t>
      </w:r>
      <w:r w:rsidR="00B533BF" w:rsidRPr="00D21D8C">
        <w:rPr>
          <w:rFonts w:asciiTheme="majorBidi" w:hAnsiTheme="majorBidi" w:cstheme="majorBidi"/>
          <w:iCs/>
          <w:color w:val="000000"/>
          <w:szCs w:val="22"/>
          <w:u w:color="FFFFFF"/>
        </w:rPr>
        <w:t> </w:t>
      </w:r>
      <w:r w:rsidR="00DA418A" w:rsidRPr="00D21D8C">
        <w:rPr>
          <w:rFonts w:asciiTheme="majorBidi" w:hAnsiTheme="majorBidi" w:cstheme="majorBidi"/>
          <w:iCs/>
          <w:color w:val="000000"/>
          <w:szCs w:val="22"/>
          <w:u w:color="FFFFFF"/>
        </w:rPr>
        <w:t xml:space="preserve">4.2). </w:t>
      </w:r>
    </w:p>
    <w:p w14:paraId="6AD4A28A" w14:textId="77777777" w:rsidR="001A274F" w:rsidRPr="00D21D8C" w:rsidRDefault="001A274F">
      <w:pPr>
        <w:tabs>
          <w:tab w:val="clear" w:pos="567"/>
        </w:tabs>
        <w:spacing w:line="240" w:lineRule="auto"/>
        <w:rPr>
          <w:rFonts w:asciiTheme="majorBidi" w:hAnsiTheme="majorBidi" w:cstheme="majorBidi"/>
          <w:szCs w:val="22"/>
        </w:rPr>
      </w:pPr>
    </w:p>
    <w:p w14:paraId="7A6C7767" w14:textId="6150520E" w:rsidR="001A274F" w:rsidRPr="00D21D8C" w:rsidRDefault="00DA418A">
      <w:pPr>
        <w:keepNext/>
        <w:tabs>
          <w:tab w:val="clear" w:pos="567"/>
        </w:tabs>
        <w:spacing w:line="240" w:lineRule="auto"/>
        <w:rPr>
          <w:rFonts w:asciiTheme="majorBidi" w:hAnsiTheme="majorBidi" w:cstheme="majorBidi"/>
          <w:szCs w:val="22"/>
          <w:u w:val="single"/>
          <w:lang w:eastAsia="ja-JP"/>
        </w:rPr>
      </w:pPr>
      <w:r w:rsidRPr="00D21D8C">
        <w:rPr>
          <w:rFonts w:asciiTheme="majorBidi" w:hAnsiTheme="majorBidi" w:cstheme="majorBidi"/>
          <w:color w:val="000000"/>
          <w:szCs w:val="22"/>
          <w:u w:val="single" w:color="000000"/>
          <w:lang w:eastAsia="ja-JP"/>
        </w:rPr>
        <w:t xml:space="preserve">Atriumfibrilleren </w:t>
      </w:r>
      <w:r w:rsidR="00E2006C" w:rsidRPr="00D21D8C">
        <w:rPr>
          <w:rFonts w:asciiTheme="majorBidi" w:hAnsiTheme="majorBidi" w:cstheme="majorBidi"/>
          <w:color w:val="000000"/>
          <w:szCs w:val="22"/>
          <w:u w:val="single" w:color="000000"/>
          <w:lang w:eastAsia="ja-JP"/>
        </w:rPr>
        <w:t xml:space="preserve">/ </w:t>
      </w:r>
      <w:r w:rsidR="009247F8" w:rsidRPr="00D21D8C">
        <w:rPr>
          <w:rFonts w:asciiTheme="majorBidi" w:hAnsiTheme="majorBidi" w:cstheme="majorBidi"/>
          <w:color w:val="000000"/>
          <w:szCs w:val="22"/>
          <w:u w:val="single" w:color="000000"/>
          <w:lang w:eastAsia="ja-JP"/>
        </w:rPr>
        <w:t>-</w:t>
      </w:r>
      <w:r w:rsidRPr="00D21D8C">
        <w:rPr>
          <w:rFonts w:asciiTheme="majorBidi" w:hAnsiTheme="majorBidi" w:cstheme="majorBidi"/>
          <w:color w:val="000000"/>
          <w:szCs w:val="22"/>
          <w:u w:val="single" w:color="000000"/>
          <w:lang w:eastAsia="ja-JP"/>
        </w:rPr>
        <w:t>flutter</w:t>
      </w:r>
      <w:r w:rsidRPr="00D21D8C">
        <w:rPr>
          <w:rFonts w:asciiTheme="majorBidi" w:hAnsiTheme="majorBidi" w:cstheme="majorBidi"/>
          <w:color w:val="000000"/>
          <w:szCs w:val="22"/>
          <w:u w:val="single" w:color="FFFFFF"/>
          <w:lang w:eastAsia="ja-JP"/>
        </w:rPr>
        <w:br/>
      </w:r>
    </w:p>
    <w:p w14:paraId="2E2D9125" w14:textId="7EFA2CB0" w:rsidR="001A274F" w:rsidRPr="00D21D8C" w:rsidRDefault="00DA418A">
      <w:pPr>
        <w:tabs>
          <w:tab w:val="clear" w:pos="567"/>
        </w:tabs>
        <w:spacing w:line="240" w:lineRule="auto"/>
        <w:rPr>
          <w:rFonts w:asciiTheme="majorBidi" w:hAnsiTheme="majorBidi" w:cstheme="majorBidi"/>
          <w:szCs w:val="22"/>
          <w:lang w:eastAsia="ja-JP"/>
        </w:rPr>
      </w:pPr>
      <w:r w:rsidRPr="00D21D8C">
        <w:rPr>
          <w:rFonts w:asciiTheme="majorBidi" w:hAnsiTheme="majorBidi" w:cstheme="majorBidi"/>
          <w:color w:val="000000"/>
          <w:szCs w:val="22"/>
          <w:u w:color="FFFFFF"/>
          <w:lang w:eastAsia="ja-JP"/>
        </w:rPr>
        <w:t xml:space="preserve">Atriumfibrilleren en atriumflutter </w:t>
      </w:r>
      <w:r w:rsidR="00E2006C" w:rsidRPr="00D21D8C">
        <w:rPr>
          <w:rFonts w:asciiTheme="majorBidi" w:hAnsiTheme="majorBidi" w:cstheme="majorBidi"/>
          <w:color w:val="000000"/>
          <w:szCs w:val="22"/>
          <w:u w:color="FFFFFF"/>
          <w:lang w:eastAsia="ja-JP"/>
        </w:rPr>
        <w:t xml:space="preserve">zijn </w:t>
      </w:r>
      <w:r w:rsidRPr="00D21D8C">
        <w:rPr>
          <w:rFonts w:asciiTheme="majorBidi" w:hAnsiTheme="majorBidi" w:cstheme="majorBidi"/>
          <w:color w:val="000000"/>
          <w:szCs w:val="22"/>
          <w:u w:color="FFFFFF"/>
          <w:lang w:eastAsia="ja-JP"/>
        </w:rPr>
        <w:t xml:space="preserve">waargenomen bij patiënten die werden behandeld met Jaypirca, met name bij patiënten met een voorgeschiedenis van atriumfibrilleren en/of meerdere cardiovasculaire comorbiditeiten. </w:t>
      </w:r>
      <w:r w:rsidR="00CF21EC" w:rsidRPr="00D21D8C">
        <w:rPr>
          <w:rFonts w:asciiTheme="majorBidi" w:hAnsiTheme="majorBidi" w:cstheme="majorBidi"/>
          <w:color w:val="000000"/>
          <w:szCs w:val="22"/>
          <w:u w:color="FFFFFF"/>
          <w:lang w:eastAsia="ja-JP"/>
        </w:rPr>
        <w:t xml:space="preserve">Er dient op </w:t>
      </w:r>
      <w:r w:rsidR="00AC1BC5" w:rsidRPr="00D21D8C">
        <w:rPr>
          <w:rFonts w:asciiTheme="majorBidi" w:hAnsiTheme="majorBidi" w:cstheme="majorBidi"/>
          <w:color w:val="000000"/>
          <w:szCs w:val="22"/>
          <w:u w:color="FFFFFF"/>
          <w:lang w:eastAsia="ja-JP"/>
        </w:rPr>
        <w:t xml:space="preserve">klachten </w:t>
      </w:r>
      <w:r w:rsidRPr="00D21D8C">
        <w:rPr>
          <w:rFonts w:asciiTheme="majorBidi" w:hAnsiTheme="majorBidi" w:cstheme="majorBidi"/>
          <w:color w:val="000000"/>
          <w:szCs w:val="22"/>
          <w:u w:color="FFFFFF"/>
          <w:lang w:eastAsia="ja-JP"/>
        </w:rPr>
        <w:t xml:space="preserve">en symptomen van atriumfibrilleren en atriumflutter </w:t>
      </w:r>
      <w:r w:rsidR="007C7F67" w:rsidRPr="00D21D8C">
        <w:rPr>
          <w:rFonts w:asciiTheme="majorBidi" w:hAnsiTheme="majorBidi" w:cstheme="majorBidi"/>
          <w:color w:val="000000"/>
          <w:szCs w:val="22"/>
          <w:u w:color="FFFFFF"/>
          <w:lang w:eastAsia="ja-JP"/>
        </w:rPr>
        <w:t xml:space="preserve">gecontroleerd te worden; </w:t>
      </w:r>
      <w:r w:rsidR="00E2006C" w:rsidRPr="00D21D8C">
        <w:rPr>
          <w:rFonts w:asciiTheme="majorBidi" w:hAnsiTheme="majorBidi" w:cstheme="majorBidi"/>
          <w:color w:val="000000"/>
          <w:szCs w:val="22"/>
          <w:u w:color="FFFFFF"/>
          <w:lang w:eastAsia="ja-JP"/>
        </w:rPr>
        <w:t xml:space="preserve">maak </w:t>
      </w:r>
      <w:r w:rsidRPr="00D21D8C">
        <w:rPr>
          <w:rFonts w:asciiTheme="majorBidi" w:hAnsiTheme="majorBidi" w:cstheme="majorBidi"/>
          <w:color w:val="000000"/>
          <w:szCs w:val="22"/>
          <w:u w:color="FFFFFF"/>
          <w:lang w:eastAsia="ja-JP"/>
        </w:rPr>
        <w:t xml:space="preserve">een elektrocardiogram </w:t>
      </w:r>
      <w:r w:rsidR="00AC1BC5" w:rsidRPr="00D21D8C">
        <w:rPr>
          <w:rFonts w:asciiTheme="majorBidi" w:hAnsiTheme="majorBidi" w:cstheme="majorBidi"/>
          <w:color w:val="000000"/>
          <w:szCs w:val="22"/>
          <w:u w:color="FFFFFF"/>
          <w:lang w:eastAsia="ja-JP"/>
        </w:rPr>
        <w:t xml:space="preserve">indien </w:t>
      </w:r>
      <w:r w:rsidRPr="00D21D8C">
        <w:rPr>
          <w:rFonts w:asciiTheme="majorBidi" w:hAnsiTheme="majorBidi" w:cstheme="majorBidi"/>
          <w:color w:val="000000"/>
          <w:szCs w:val="22"/>
          <w:u w:color="FFFFFF"/>
          <w:lang w:eastAsia="ja-JP"/>
        </w:rPr>
        <w:t xml:space="preserve">medisch geïndiceerd. Op </w:t>
      </w:r>
      <w:r w:rsidRPr="00D21D8C">
        <w:rPr>
          <w:rFonts w:asciiTheme="majorBidi" w:hAnsiTheme="majorBidi" w:cstheme="majorBidi"/>
          <w:color w:val="000000"/>
          <w:szCs w:val="22"/>
          <w:u w:color="FFFFFF"/>
          <w:lang w:eastAsia="ja-JP"/>
        </w:rPr>
        <w:lastRenderedPageBreak/>
        <w:t xml:space="preserve">basis van de </w:t>
      </w:r>
      <w:r w:rsidR="00E2006C" w:rsidRPr="00D21D8C">
        <w:rPr>
          <w:rFonts w:asciiTheme="majorBidi" w:hAnsiTheme="majorBidi" w:cstheme="majorBidi"/>
          <w:color w:val="000000"/>
          <w:szCs w:val="22"/>
          <w:u w:color="FFFFFF"/>
          <w:lang w:eastAsia="ja-JP"/>
        </w:rPr>
        <w:t xml:space="preserve">graad </w:t>
      </w:r>
      <w:r w:rsidRPr="00D21D8C">
        <w:rPr>
          <w:rFonts w:asciiTheme="majorBidi" w:hAnsiTheme="majorBidi" w:cstheme="majorBidi"/>
          <w:color w:val="000000"/>
          <w:szCs w:val="22"/>
          <w:u w:color="FFFFFF"/>
          <w:lang w:eastAsia="ja-JP"/>
        </w:rPr>
        <w:t>van atriumfibrilleren/atriumflutter kan dosis</w:t>
      </w:r>
      <w:r w:rsidR="007C7F67" w:rsidRPr="00D21D8C">
        <w:rPr>
          <w:rFonts w:asciiTheme="majorBidi" w:hAnsiTheme="majorBidi" w:cstheme="majorBidi"/>
          <w:color w:val="000000"/>
          <w:szCs w:val="22"/>
          <w:u w:color="FFFFFF"/>
          <w:lang w:eastAsia="ja-JP"/>
        </w:rPr>
        <w:t>onderbreking</w:t>
      </w:r>
      <w:r w:rsidRPr="00D21D8C">
        <w:rPr>
          <w:rFonts w:asciiTheme="majorBidi" w:hAnsiTheme="majorBidi" w:cstheme="majorBidi"/>
          <w:color w:val="000000"/>
          <w:szCs w:val="22"/>
          <w:u w:color="FFFFFF"/>
          <w:lang w:eastAsia="ja-JP"/>
        </w:rPr>
        <w:t xml:space="preserve"> </w:t>
      </w:r>
      <w:r w:rsidR="00E2006C" w:rsidRPr="00D21D8C">
        <w:rPr>
          <w:rFonts w:asciiTheme="majorBidi" w:hAnsiTheme="majorBidi" w:cstheme="majorBidi"/>
          <w:color w:val="000000"/>
          <w:szCs w:val="22"/>
          <w:u w:color="FFFFFF"/>
          <w:lang w:eastAsia="ja-JP"/>
        </w:rPr>
        <w:t xml:space="preserve">noodzakelijk </w:t>
      </w:r>
      <w:r w:rsidRPr="00D21D8C">
        <w:rPr>
          <w:rFonts w:asciiTheme="majorBidi" w:hAnsiTheme="majorBidi" w:cstheme="majorBidi"/>
          <w:color w:val="000000"/>
          <w:szCs w:val="22"/>
          <w:u w:color="FFFFFF"/>
          <w:lang w:eastAsia="ja-JP"/>
        </w:rPr>
        <w:t>zijn (zie rubriek</w:t>
      </w:r>
      <w:r w:rsidR="00B533BF" w:rsidRPr="00D21D8C">
        <w:rPr>
          <w:rFonts w:asciiTheme="majorBidi" w:hAnsiTheme="majorBidi" w:cstheme="majorBidi"/>
          <w:color w:val="000000"/>
          <w:szCs w:val="22"/>
          <w:u w:color="FFFFFF"/>
          <w:lang w:eastAsia="ja-JP"/>
        </w:rPr>
        <w:t> </w:t>
      </w:r>
      <w:r w:rsidRPr="00D21D8C">
        <w:rPr>
          <w:rFonts w:asciiTheme="majorBidi" w:hAnsiTheme="majorBidi" w:cstheme="majorBidi"/>
          <w:color w:val="000000"/>
          <w:szCs w:val="22"/>
          <w:u w:color="FFFFFF"/>
          <w:lang w:eastAsia="ja-JP"/>
        </w:rPr>
        <w:t>4.2).</w:t>
      </w:r>
    </w:p>
    <w:p w14:paraId="2526137B" w14:textId="77777777" w:rsidR="001A274F" w:rsidRPr="00D21D8C" w:rsidRDefault="001A274F">
      <w:pPr>
        <w:tabs>
          <w:tab w:val="clear" w:pos="567"/>
        </w:tabs>
        <w:spacing w:line="240" w:lineRule="auto"/>
        <w:rPr>
          <w:rFonts w:asciiTheme="majorBidi" w:hAnsiTheme="majorBidi" w:cstheme="majorBidi"/>
          <w:szCs w:val="22"/>
          <w:lang w:eastAsia="ja-JP"/>
        </w:rPr>
      </w:pPr>
    </w:p>
    <w:p w14:paraId="40C623C2" w14:textId="77777777" w:rsidR="001A274F" w:rsidRPr="00D21D8C" w:rsidRDefault="00DA418A">
      <w:pPr>
        <w:keepNext/>
        <w:tabs>
          <w:tab w:val="clear" w:pos="567"/>
        </w:tabs>
        <w:spacing w:line="240" w:lineRule="auto"/>
        <w:rPr>
          <w:rFonts w:asciiTheme="majorBidi" w:hAnsiTheme="majorBidi" w:cstheme="majorBidi"/>
          <w:szCs w:val="22"/>
          <w:u w:val="single"/>
          <w:lang w:eastAsia="ja-JP"/>
        </w:rPr>
      </w:pPr>
      <w:r w:rsidRPr="00D21D8C">
        <w:rPr>
          <w:rFonts w:asciiTheme="majorBidi" w:hAnsiTheme="majorBidi" w:cstheme="majorBidi"/>
          <w:color w:val="000000"/>
          <w:szCs w:val="22"/>
          <w:u w:val="single" w:color="000000"/>
          <w:lang w:eastAsia="ja-JP"/>
        </w:rPr>
        <w:t>Tweede primaire maligniteiten</w:t>
      </w:r>
      <w:r w:rsidRPr="00D21D8C">
        <w:rPr>
          <w:rFonts w:asciiTheme="majorBidi" w:hAnsiTheme="majorBidi" w:cstheme="majorBidi"/>
          <w:color w:val="000000"/>
          <w:szCs w:val="22"/>
          <w:u w:val="single" w:color="FFFFFF"/>
          <w:lang w:eastAsia="ja-JP"/>
        </w:rPr>
        <w:br/>
      </w:r>
    </w:p>
    <w:p w14:paraId="0C56ADA9" w14:textId="2E9C1B03" w:rsidR="001A274F" w:rsidRPr="00D21D8C" w:rsidRDefault="00E2006C">
      <w:pPr>
        <w:keepNext/>
        <w:tabs>
          <w:tab w:val="clear" w:pos="567"/>
        </w:tabs>
        <w:spacing w:line="240" w:lineRule="auto"/>
        <w:rPr>
          <w:rFonts w:asciiTheme="majorBidi" w:hAnsiTheme="majorBidi" w:cstheme="majorBidi"/>
          <w:szCs w:val="22"/>
          <w:lang w:eastAsia="ja-JP"/>
        </w:rPr>
      </w:pPr>
      <w:r w:rsidRPr="00D21D8C">
        <w:rPr>
          <w:rFonts w:asciiTheme="majorBidi" w:hAnsiTheme="majorBidi" w:cstheme="majorBidi"/>
          <w:color w:val="000000"/>
          <w:szCs w:val="22"/>
          <w:u w:color="FFFFFF"/>
          <w:lang w:eastAsia="ja-JP"/>
        </w:rPr>
        <w:t>T</w:t>
      </w:r>
      <w:r w:rsidR="00DA418A" w:rsidRPr="00D21D8C">
        <w:rPr>
          <w:rFonts w:asciiTheme="majorBidi" w:hAnsiTheme="majorBidi" w:cstheme="majorBidi"/>
          <w:color w:val="000000"/>
          <w:szCs w:val="22"/>
          <w:u w:color="FFFFFF"/>
          <w:lang w:eastAsia="ja-JP"/>
        </w:rPr>
        <w:t xml:space="preserve">weede primaire maligniteiten </w:t>
      </w:r>
      <w:r w:rsidRPr="00D21D8C">
        <w:rPr>
          <w:rFonts w:asciiTheme="majorBidi" w:hAnsiTheme="majorBidi" w:cstheme="majorBidi"/>
          <w:color w:val="000000"/>
          <w:szCs w:val="22"/>
          <w:u w:color="FFFFFF"/>
          <w:lang w:eastAsia="ja-JP"/>
        </w:rPr>
        <w:t xml:space="preserve">zijn </w:t>
      </w:r>
      <w:r w:rsidR="00CF21EC" w:rsidRPr="00D21D8C">
        <w:rPr>
          <w:rFonts w:asciiTheme="majorBidi" w:hAnsiTheme="majorBidi" w:cstheme="majorBidi"/>
          <w:color w:val="000000"/>
          <w:szCs w:val="22"/>
          <w:u w:color="FFFFFF"/>
          <w:lang w:eastAsia="ja-JP"/>
        </w:rPr>
        <w:t xml:space="preserve">vaak </w:t>
      </w:r>
      <w:r w:rsidRPr="00D21D8C">
        <w:rPr>
          <w:rFonts w:asciiTheme="majorBidi" w:hAnsiTheme="majorBidi" w:cstheme="majorBidi"/>
          <w:color w:val="000000"/>
          <w:szCs w:val="22"/>
          <w:u w:color="FFFFFF"/>
          <w:lang w:eastAsia="ja-JP"/>
        </w:rPr>
        <w:t xml:space="preserve">voorgekomen </w:t>
      </w:r>
      <w:r w:rsidR="00DA418A" w:rsidRPr="00D21D8C">
        <w:rPr>
          <w:rFonts w:asciiTheme="majorBidi" w:hAnsiTheme="majorBidi" w:cstheme="majorBidi"/>
          <w:color w:val="000000"/>
          <w:szCs w:val="22"/>
          <w:u w:color="FFFFFF"/>
          <w:lang w:eastAsia="ja-JP"/>
        </w:rPr>
        <w:t xml:space="preserve">bij patiënten die werden behandeld met Jaypirca, waarbij </w:t>
      </w:r>
      <w:r w:rsidRPr="00D21D8C">
        <w:rPr>
          <w:rFonts w:asciiTheme="majorBidi" w:hAnsiTheme="majorBidi" w:cstheme="majorBidi"/>
          <w:color w:val="000000"/>
          <w:szCs w:val="22"/>
          <w:u w:color="FFFFFF"/>
          <w:lang w:eastAsia="ja-JP"/>
        </w:rPr>
        <w:t xml:space="preserve">de meest voorkomende typen </w:t>
      </w:r>
      <w:r w:rsidR="00DA418A" w:rsidRPr="00D21D8C">
        <w:rPr>
          <w:rFonts w:asciiTheme="majorBidi" w:hAnsiTheme="majorBidi" w:cstheme="majorBidi"/>
          <w:color w:val="000000"/>
          <w:szCs w:val="22"/>
          <w:u w:color="FFFFFF"/>
          <w:lang w:eastAsia="ja-JP"/>
        </w:rPr>
        <w:t>niet</w:t>
      </w:r>
      <w:r w:rsidR="00DA418A" w:rsidRPr="00D21D8C">
        <w:rPr>
          <w:rFonts w:asciiTheme="majorBidi" w:hAnsiTheme="majorBidi" w:cstheme="majorBidi"/>
          <w:color w:val="000000"/>
          <w:szCs w:val="22"/>
          <w:u w:color="FFFFFF"/>
          <w:lang w:eastAsia="ja-JP"/>
        </w:rPr>
        <w:noBreakHyphen/>
        <w:t xml:space="preserve">melanome huidkankers </w:t>
      </w:r>
      <w:r w:rsidRPr="00D21D8C">
        <w:rPr>
          <w:rFonts w:asciiTheme="majorBidi" w:hAnsiTheme="majorBidi" w:cstheme="majorBidi"/>
          <w:color w:val="000000"/>
          <w:szCs w:val="22"/>
          <w:u w:color="FFFFFF"/>
          <w:lang w:eastAsia="ja-JP"/>
        </w:rPr>
        <w:t>waren</w:t>
      </w:r>
      <w:r w:rsidR="00DA418A" w:rsidRPr="00D21D8C">
        <w:rPr>
          <w:rFonts w:asciiTheme="majorBidi" w:hAnsiTheme="majorBidi" w:cstheme="majorBidi"/>
          <w:color w:val="000000"/>
          <w:szCs w:val="22"/>
          <w:u w:color="FFFFFF"/>
          <w:lang w:eastAsia="ja-JP"/>
        </w:rPr>
        <w:t xml:space="preserve">. </w:t>
      </w:r>
      <w:r w:rsidR="00CF21EC" w:rsidRPr="00D21D8C">
        <w:rPr>
          <w:rFonts w:asciiTheme="majorBidi" w:hAnsiTheme="majorBidi" w:cstheme="majorBidi"/>
          <w:color w:val="000000"/>
          <w:szCs w:val="22"/>
          <w:u w:color="FFFFFF"/>
          <w:lang w:eastAsia="ja-JP"/>
        </w:rPr>
        <w:t>P</w:t>
      </w:r>
      <w:r w:rsidR="00DA418A" w:rsidRPr="00D21D8C">
        <w:rPr>
          <w:rFonts w:asciiTheme="majorBidi" w:hAnsiTheme="majorBidi" w:cstheme="majorBidi"/>
          <w:color w:val="000000"/>
          <w:szCs w:val="22"/>
          <w:u w:color="FFFFFF"/>
          <w:lang w:eastAsia="ja-JP"/>
        </w:rPr>
        <w:t xml:space="preserve">atiënten </w:t>
      </w:r>
      <w:r w:rsidR="005B2C1F" w:rsidRPr="00D21D8C">
        <w:rPr>
          <w:rFonts w:asciiTheme="majorBidi" w:hAnsiTheme="majorBidi" w:cstheme="majorBidi"/>
          <w:color w:val="000000"/>
          <w:szCs w:val="22"/>
          <w:u w:color="FFFFFF"/>
          <w:lang w:eastAsia="ja-JP"/>
        </w:rPr>
        <w:t xml:space="preserve">moeten worden </w:t>
      </w:r>
      <w:r w:rsidR="00CF21EC" w:rsidRPr="00D21D8C">
        <w:rPr>
          <w:rFonts w:asciiTheme="majorBidi" w:hAnsiTheme="majorBidi" w:cstheme="majorBidi"/>
          <w:color w:val="000000"/>
          <w:szCs w:val="22"/>
          <w:u w:color="FFFFFF"/>
          <w:lang w:eastAsia="ja-JP"/>
        </w:rPr>
        <w:t xml:space="preserve">gecontroleerd </w:t>
      </w:r>
      <w:r w:rsidR="00DA418A" w:rsidRPr="00D21D8C">
        <w:rPr>
          <w:rFonts w:asciiTheme="majorBidi" w:hAnsiTheme="majorBidi" w:cstheme="majorBidi"/>
          <w:color w:val="000000"/>
          <w:szCs w:val="22"/>
          <w:u w:color="FFFFFF"/>
          <w:lang w:eastAsia="ja-JP"/>
        </w:rPr>
        <w:t xml:space="preserve">op het optreden van huidkanker en </w:t>
      </w:r>
      <w:r w:rsidR="005B2C1F" w:rsidRPr="00D21D8C">
        <w:rPr>
          <w:rFonts w:asciiTheme="majorBidi" w:hAnsiTheme="majorBidi" w:cstheme="majorBidi"/>
          <w:color w:val="000000"/>
          <w:szCs w:val="22"/>
          <w:u w:color="FFFFFF"/>
          <w:lang w:eastAsia="ja-JP"/>
        </w:rPr>
        <w:t>moeten worden geadviseerd zich te beschermen</w:t>
      </w:r>
      <w:r w:rsidR="00DA418A" w:rsidRPr="00D21D8C">
        <w:rPr>
          <w:rFonts w:asciiTheme="majorBidi" w:hAnsiTheme="majorBidi" w:cstheme="majorBidi"/>
          <w:color w:val="000000"/>
          <w:szCs w:val="22"/>
          <w:u w:color="FFFFFF"/>
          <w:lang w:eastAsia="ja-JP"/>
        </w:rPr>
        <w:t xml:space="preserve"> tegen blootstelling aan </w:t>
      </w:r>
      <w:r w:rsidR="005B2C1F" w:rsidRPr="00D21D8C">
        <w:rPr>
          <w:rFonts w:asciiTheme="majorBidi" w:hAnsiTheme="majorBidi" w:cstheme="majorBidi"/>
          <w:color w:val="000000"/>
          <w:szCs w:val="22"/>
          <w:u w:color="FFFFFF"/>
          <w:lang w:eastAsia="ja-JP"/>
        </w:rPr>
        <w:t>de zon</w:t>
      </w:r>
      <w:r w:rsidR="00DA418A" w:rsidRPr="00D21D8C">
        <w:rPr>
          <w:rFonts w:asciiTheme="majorBidi" w:hAnsiTheme="majorBidi" w:cstheme="majorBidi"/>
          <w:color w:val="000000"/>
          <w:szCs w:val="22"/>
          <w:u w:color="FFFFFF"/>
          <w:lang w:eastAsia="ja-JP"/>
        </w:rPr>
        <w:t>.</w:t>
      </w:r>
    </w:p>
    <w:p w14:paraId="7450DA3F" w14:textId="77777777" w:rsidR="001A274F" w:rsidRPr="00D21D8C" w:rsidRDefault="001A274F">
      <w:pPr>
        <w:tabs>
          <w:tab w:val="clear" w:pos="567"/>
        </w:tabs>
        <w:spacing w:line="240" w:lineRule="auto"/>
        <w:rPr>
          <w:rFonts w:asciiTheme="majorBidi" w:hAnsiTheme="majorBidi" w:cstheme="majorBidi"/>
          <w:szCs w:val="22"/>
          <w:lang w:eastAsia="ja-JP"/>
        </w:rPr>
      </w:pPr>
    </w:p>
    <w:p w14:paraId="499621DA" w14:textId="77777777" w:rsidR="0037766E" w:rsidRPr="00D21D8C" w:rsidRDefault="0037766E" w:rsidP="0037766E">
      <w:pPr>
        <w:keepNext/>
        <w:spacing w:line="240" w:lineRule="auto"/>
        <w:rPr>
          <w:rFonts w:asciiTheme="majorBidi" w:hAnsiTheme="majorBidi" w:cstheme="majorBidi"/>
          <w:color w:val="000000"/>
          <w:szCs w:val="22"/>
          <w:u w:val="single" w:color="000000"/>
        </w:rPr>
      </w:pPr>
      <w:r w:rsidRPr="00D21D8C">
        <w:rPr>
          <w:rFonts w:asciiTheme="majorBidi" w:hAnsiTheme="majorBidi" w:cstheme="majorBidi"/>
          <w:color w:val="000000"/>
          <w:szCs w:val="22"/>
          <w:u w:val="single" w:color="000000"/>
        </w:rPr>
        <w:t>Tumorlysissyndroom</w:t>
      </w:r>
    </w:p>
    <w:p w14:paraId="1F9D8675" w14:textId="77777777" w:rsidR="0037766E" w:rsidRPr="00D21D8C" w:rsidRDefault="0037766E" w:rsidP="0037766E">
      <w:pPr>
        <w:keepNext/>
        <w:spacing w:line="240" w:lineRule="auto"/>
        <w:rPr>
          <w:rFonts w:asciiTheme="majorBidi" w:hAnsiTheme="majorBidi" w:cstheme="majorBidi"/>
          <w:color w:val="000000"/>
          <w:szCs w:val="22"/>
          <w:u w:val="single" w:color="000000"/>
        </w:rPr>
      </w:pPr>
    </w:p>
    <w:p w14:paraId="1703D70C" w14:textId="226A5B4D" w:rsidR="0037766E" w:rsidRPr="00D21D8C" w:rsidRDefault="0037766E" w:rsidP="0037766E">
      <w:pPr>
        <w:keepNext/>
        <w:spacing w:line="240" w:lineRule="auto"/>
        <w:rPr>
          <w:rFonts w:asciiTheme="majorBidi" w:hAnsiTheme="majorBidi" w:cstheme="majorBidi"/>
          <w:color w:val="000000"/>
          <w:szCs w:val="22"/>
          <w:u w:color="000000"/>
        </w:rPr>
      </w:pPr>
      <w:r w:rsidRPr="00D21D8C">
        <w:rPr>
          <w:rFonts w:asciiTheme="majorBidi" w:hAnsiTheme="majorBidi" w:cstheme="majorBidi"/>
          <w:color w:val="000000"/>
          <w:szCs w:val="22"/>
          <w:u w:color="000000"/>
        </w:rPr>
        <w:t>Tumorlysissyndroom (TLS) is zelden gemeld bij behandeling met Jaypirca. Patiënten met een hoog risico op TLS zijn d</w:t>
      </w:r>
      <w:r w:rsidR="00FE717E" w:rsidRPr="00D21D8C">
        <w:rPr>
          <w:rFonts w:asciiTheme="majorBidi" w:hAnsiTheme="majorBidi" w:cstheme="majorBidi"/>
          <w:color w:val="000000"/>
          <w:szCs w:val="22"/>
          <w:u w:color="000000"/>
        </w:rPr>
        <w:t>i</w:t>
      </w:r>
      <w:r w:rsidRPr="00D21D8C">
        <w:rPr>
          <w:rFonts w:asciiTheme="majorBidi" w:hAnsiTheme="majorBidi" w:cstheme="majorBidi"/>
          <w:color w:val="000000"/>
          <w:szCs w:val="22"/>
          <w:u w:color="000000"/>
        </w:rPr>
        <w:t>egenen voorafgaand aan de behandeling</w:t>
      </w:r>
      <w:r w:rsidR="00FE717E" w:rsidRPr="00D21D8C">
        <w:rPr>
          <w:rFonts w:asciiTheme="majorBidi" w:hAnsiTheme="majorBidi" w:cstheme="majorBidi"/>
          <w:color w:val="000000"/>
          <w:szCs w:val="22"/>
          <w:u w:color="000000"/>
        </w:rPr>
        <w:t xml:space="preserve"> een hoge tumorbelasting hebben</w:t>
      </w:r>
      <w:r w:rsidRPr="00D21D8C">
        <w:rPr>
          <w:rFonts w:asciiTheme="majorBidi" w:hAnsiTheme="majorBidi" w:cstheme="majorBidi"/>
          <w:color w:val="000000"/>
          <w:szCs w:val="22"/>
          <w:u w:color="000000"/>
        </w:rPr>
        <w:t xml:space="preserve">. Patiënten moeten worden beoordeeld op mogelijk risico </w:t>
      </w:r>
      <w:r w:rsidR="00AC1BC5" w:rsidRPr="00D21D8C">
        <w:rPr>
          <w:rFonts w:asciiTheme="majorBidi" w:hAnsiTheme="majorBidi" w:cstheme="majorBidi"/>
          <w:color w:val="000000"/>
          <w:szCs w:val="22"/>
          <w:u w:color="000000"/>
        </w:rPr>
        <w:t xml:space="preserve">op </w:t>
      </w:r>
      <w:r w:rsidRPr="00D21D8C">
        <w:rPr>
          <w:rFonts w:asciiTheme="majorBidi" w:hAnsiTheme="majorBidi" w:cstheme="majorBidi"/>
          <w:color w:val="000000"/>
          <w:szCs w:val="22"/>
          <w:u w:color="000000"/>
        </w:rPr>
        <w:t xml:space="preserve">TLS en nauwlettend worden gevolgd, </w:t>
      </w:r>
      <w:r w:rsidR="00AC1BC5" w:rsidRPr="00D21D8C">
        <w:rPr>
          <w:rFonts w:asciiTheme="majorBidi" w:hAnsiTheme="majorBidi" w:cstheme="majorBidi"/>
          <w:color w:val="000000"/>
          <w:szCs w:val="22"/>
          <w:u w:color="000000"/>
        </w:rPr>
        <w:t xml:space="preserve">indien </w:t>
      </w:r>
      <w:r w:rsidRPr="00D21D8C">
        <w:rPr>
          <w:rFonts w:asciiTheme="majorBidi" w:hAnsiTheme="majorBidi" w:cstheme="majorBidi"/>
          <w:color w:val="000000"/>
          <w:szCs w:val="22"/>
          <w:u w:color="000000"/>
        </w:rPr>
        <w:t>klinisch geïndiceerd.</w:t>
      </w:r>
    </w:p>
    <w:p w14:paraId="7FC21444" w14:textId="77777777" w:rsidR="0037766E" w:rsidRPr="00D21D8C" w:rsidRDefault="0037766E">
      <w:pPr>
        <w:keepNext/>
        <w:spacing w:line="240" w:lineRule="auto"/>
        <w:rPr>
          <w:rFonts w:asciiTheme="majorBidi" w:hAnsiTheme="majorBidi" w:cstheme="majorBidi"/>
          <w:color w:val="000000"/>
          <w:szCs w:val="22"/>
          <w:u w:val="single" w:color="000000"/>
        </w:rPr>
      </w:pPr>
    </w:p>
    <w:p w14:paraId="5CD1A962" w14:textId="1BBB6944" w:rsidR="001A274F" w:rsidRPr="00D21D8C" w:rsidRDefault="00CF21EC">
      <w:pPr>
        <w:keepNext/>
        <w:spacing w:line="240" w:lineRule="auto"/>
        <w:rPr>
          <w:rFonts w:asciiTheme="majorBidi" w:hAnsiTheme="majorBidi" w:cstheme="majorBidi"/>
          <w:szCs w:val="22"/>
        </w:rPr>
      </w:pPr>
      <w:r w:rsidRPr="00D21D8C">
        <w:rPr>
          <w:rFonts w:asciiTheme="majorBidi" w:hAnsiTheme="majorBidi" w:cstheme="majorBidi"/>
          <w:color w:val="000000"/>
          <w:szCs w:val="22"/>
          <w:u w:val="single" w:color="000000"/>
        </w:rPr>
        <w:t>Anticonceptie bij v</w:t>
      </w:r>
      <w:r w:rsidR="00DA418A" w:rsidRPr="00D21D8C">
        <w:rPr>
          <w:rFonts w:asciiTheme="majorBidi" w:hAnsiTheme="majorBidi" w:cstheme="majorBidi"/>
          <w:color w:val="000000"/>
          <w:szCs w:val="22"/>
          <w:u w:val="single" w:color="000000"/>
        </w:rPr>
        <w:t>rouwen die zwanger kunnen worden</w:t>
      </w:r>
      <w:r w:rsidRPr="00D21D8C">
        <w:rPr>
          <w:rFonts w:asciiTheme="majorBidi" w:hAnsiTheme="majorBidi" w:cstheme="majorBidi"/>
          <w:color w:val="000000"/>
          <w:szCs w:val="22"/>
          <w:u w:val="single" w:color="000000"/>
        </w:rPr>
        <w:t xml:space="preserve"> en mannen</w:t>
      </w:r>
    </w:p>
    <w:p w14:paraId="725BF03C" w14:textId="77777777" w:rsidR="001A274F" w:rsidRPr="00D21D8C" w:rsidRDefault="001A274F">
      <w:pPr>
        <w:keepNext/>
        <w:spacing w:line="240" w:lineRule="auto"/>
        <w:rPr>
          <w:rFonts w:asciiTheme="majorBidi" w:hAnsiTheme="majorBidi" w:cstheme="majorBidi"/>
          <w:szCs w:val="22"/>
          <w:u w:val="single"/>
        </w:rPr>
      </w:pPr>
    </w:p>
    <w:p w14:paraId="4C1C339E" w14:textId="653D530A" w:rsidR="001A274F" w:rsidRPr="00D21D8C" w:rsidRDefault="00DA418A">
      <w:pPr>
        <w:keepNext/>
        <w:tabs>
          <w:tab w:val="clear" w:pos="567"/>
        </w:tabs>
        <w:spacing w:line="240" w:lineRule="auto"/>
        <w:rPr>
          <w:rFonts w:asciiTheme="majorBidi" w:hAnsiTheme="majorBidi" w:cstheme="majorBidi"/>
          <w:szCs w:val="22"/>
          <w:lang w:eastAsia="ja-JP"/>
        </w:rPr>
      </w:pPr>
      <w:r w:rsidRPr="00D21D8C">
        <w:rPr>
          <w:rFonts w:asciiTheme="majorBidi" w:hAnsiTheme="majorBidi" w:cstheme="majorBidi"/>
          <w:color w:val="000000"/>
          <w:szCs w:val="22"/>
          <w:u w:color="FFFFFF"/>
        </w:rPr>
        <w:t xml:space="preserve">Op basis van bevindingen in dieronderzoeken en </w:t>
      </w:r>
      <w:r w:rsidR="00CF21EC" w:rsidRPr="00D21D8C">
        <w:rPr>
          <w:rFonts w:asciiTheme="majorBidi" w:hAnsiTheme="majorBidi" w:cstheme="majorBidi"/>
          <w:color w:val="000000"/>
          <w:szCs w:val="22"/>
          <w:u w:color="FFFFFF"/>
        </w:rPr>
        <w:t>de genotoxiciteit van pirtobrutinib (zie rubriek 5.3)</w:t>
      </w:r>
      <w:r w:rsidR="00E2006C" w:rsidRPr="00D21D8C">
        <w:rPr>
          <w:rFonts w:asciiTheme="majorBidi" w:hAnsiTheme="majorBidi" w:cstheme="majorBidi"/>
          <w:color w:val="000000"/>
          <w:szCs w:val="22"/>
          <w:u w:color="FFFFFF"/>
        </w:rPr>
        <w:t>,</w:t>
      </w:r>
      <w:r w:rsidRPr="00D21D8C">
        <w:rPr>
          <w:rFonts w:asciiTheme="majorBidi" w:hAnsiTheme="majorBidi" w:cstheme="majorBidi"/>
          <w:color w:val="000000"/>
          <w:szCs w:val="22"/>
          <w:u w:color="FFFFFF"/>
        </w:rPr>
        <w:t xml:space="preserve"> kan pirtobrutinib schade veroorzaken</w:t>
      </w:r>
      <w:r w:rsidR="00E2006C" w:rsidRPr="00D21D8C">
        <w:rPr>
          <w:rFonts w:asciiTheme="majorBidi" w:hAnsiTheme="majorBidi" w:cstheme="majorBidi"/>
          <w:color w:val="000000"/>
          <w:szCs w:val="22"/>
          <w:u w:color="FFFFFF"/>
        </w:rPr>
        <w:t xml:space="preserve"> aan de foetus</w:t>
      </w:r>
      <w:r w:rsidRPr="00D21D8C">
        <w:rPr>
          <w:rFonts w:asciiTheme="majorBidi" w:hAnsiTheme="majorBidi" w:cstheme="majorBidi"/>
          <w:color w:val="000000"/>
          <w:szCs w:val="22"/>
          <w:u w:color="FFFFFF"/>
        </w:rPr>
        <w:t xml:space="preserve"> wanneer het wordt toegediend aan een zwangere vrouw. Vrouwen die zwanger kunnen worden, </w:t>
      </w:r>
      <w:r w:rsidR="0034182B" w:rsidRPr="00D21D8C">
        <w:rPr>
          <w:rFonts w:asciiTheme="majorBidi" w:hAnsiTheme="majorBidi" w:cstheme="majorBidi"/>
          <w:color w:val="000000"/>
          <w:szCs w:val="22"/>
          <w:u w:color="FFFFFF"/>
        </w:rPr>
        <w:t xml:space="preserve">moeten </w:t>
      </w:r>
      <w:r w:rsidRPr="00D21D8C">
        <w:rPr>
          <w:rFonts w:asciiTheme="majorBidi" w:hAnsiTheme="majorBidi" w:cstheme="majorBidi"/>
          <w:color w:val="000000"/>
          <w:szCs w:val="22"/>
          <w:u w:color="FFFFFF"/>
        </w:rPr>
        <w:t>een effectieve anticonceptiemethode</w:t>
      </w:r>
      <w:r w:rsidR="00E2006C" w:rsidRPr="00D21D8C">
        <w:rPr>
          <w:rFonts w:asciiTheme="majorBidi" w:hAnsiTheme="majorBidi" w:cstheme="majorBidi"/>
          <w:color w:val="000000"/>
          <w:szCs w:val="22"/>
          <w:u w:color="FFFFFF"/>
        </w:rPr>
        <w:t xml:space="preserve"> </w:t>
      </w:r>
      <w:r w:rsidRPr="00D21D8C">
        <w:rPr>
          <w:rFonts w:asciiTheme="majorBidi" w:hAnsiTheme="majorBidi" w:cstheme="majorBidi"/>
          <w:color w:val="000000"/>
          <w:szCs w:val="22"/>
          <w:u w:color="FFFFFF"/>
        </w:rPr>
        <w:t xml:space="preserve">gebruiken tijdens de behandeling </w:t>
      </w:r>
      <w:r w:rsidR="00744860" w:rsidRPr="00D21D8C">
        <w:rPr>
          <w:rFonts w:asciiTheme="majorBidi" w:hAnsiTheme="majorBidi" w:cstheme="majorBidi"/>
          <w:color w:val="000000"/>
          <w:szCs w:val="22"/>
          <w:u w:color="FFFFFF"/>
        </w:rPr>
        <w:t xml:space="preserve">en </w:t>
      </w:r>
      <w:r w:rsidRPr="00D21D8C">
        <w:rPr>
          <w:rFonts w:asciiTheme="majorBidi" w:hAnsiTheme="majorBidi" w:cstheme="majorBidi"/>
          <w:color w:val="000000"/>
          <w:szCs w:val="22"/>
          <w:u w:color="FFFFFF"/>
        </w:rPr>
        <w:t>gedurende 5 weken na de laatste dosis Jaypirca.</w:t>
      </w:r>
      <w:r w:rsidR="00CF21EC" w:rsidRPr="00D21D8C">
        <w:rPr>
          <w:rFonts w:asciiTheme="majorBidi" w:hAnsiTheme="majorBidi" w:cstheme="majorBidi"/>
          <w:color w:val="000000"/>
          <w:szCs w:val="22"/>
          <w:u w:color="FFFFFF"/>
        </w:rPr>
        <w:t xml:space="preserve"> Mannen word</w:t>
      </w:r>
      <w:r w:rsidR="00AC1BC5" w:rsidRPr="00D21D8C">
        <w:rPr>
          <w:rFonts w:asciiTheme="majorBidi" w:hAnsiTheme="majorBidi" w:cstheme="majorBidi"/>
          <w:color w:val="000000"/>
          <w:szCs w:val="22"/>
          <w:u w:color="FFFFFF"/>
        </w:rPr>
        <w:t>t</w:t>
      </w:r>
      <w:r w:rsidR="00CF21EC" w:rsidRPr="00D21D8C">
        <w:rPr>
          <w:rFonts w:asciiTheme="majorBidi" w:hAnsiTheme="majorBidi" w:cstheme="majorBidi"/>
          <w:color w:val="000000"/>
          <w:szCs w:val="22"/>
          <w:u w:color="FFFFFF"/>
        </w:rPr>
        <w:t xml:space="preserve"> geadviseerd een effectieve anticonceptiemethode te gebruiken en geen kind te verwekken tijdens de behandeling en gedurende 3</w:t>
      </w:r>
      <w:r w:rsidR="000C47E9" w:rsidRPr="00D21D8C">
        <w:rPr>
          <w:rFonts w:asciiTheme="majorBidi" w:hAnsiTheme="majorBidi" w:cstheme="majorBidi"/>
          <w:color w:val="000000"/>
          <w:szCs w:val="22"/>
          <w:u w:color="FFFFFF"/>
        </w:rPr>
        <w:t> </w:t>
      </w:r>
      <w:r w:rsidR="00CF21EC" w:rsidRPr="00D21D8C">
        <w:rPr>
          <w:rFonts w:asciiTheme="majorBidi" w:hAnsiTheme="majorBidi" w:cstheme="majorBidi"/>
          <w:color w:val="000000"/>
          <w:szCs w:val="22"/>
          <w:u w:color="FFFFFF"/>
        </w:rPr>
        <w:t>maanden na de laatste dosis Jaypirca (zie rubriek</w:t>
      </w:r>
      <w:r w:rsidR="000C47E9" w:rsidRPr="00D21D8C">
        <w:rPr>
          <w:rFonts w:asciiTheme="majorBidi" w:hAnsiTheme="majorBidi" w:cstheme="majorBidi"/>
          <w:color w:val="000000"/>
          <w:szCs w:val="22"/>
          <w:u w:color="FFFFFF"/>
        </w:rPr>
        <w:t> </w:t>
      </w:r>
      <w:r w:rsidR="00CF21EC" w:rsidRPr="00D21D8C">
        <w:rPr>
          <w:rFonts w:asciiTheme="majorBidi" w:hAnsiTheme="majorBidi" w:cstheme="majorBidi"/>
          <w:color w:val="000000"/>
          <w:szCs w:val="22"/>
          <w:u w:color="FFFFFF"/>
        </w:rPr>
        <w:t>4.6).</w:t>
      </w:r>
    </w:p>
    <w:p w14:paraId="70F51E1F" w14:textId="77777777" w:rsidR="001A274F" w:rsidRPr="00D21D8C" w:rsidRDefault="001A274F">
      <w:pPr>
        <w:tabs>
          <w:tab w:val="clear" w:pos="567"/>
        </w:tabs>
        <w:spacing w:line="240" w:lineRule="auto"/>
        <w:rPr>
          <w:rFonts w:asciiTheme="majorBidi" w:hAnsiTheme="majorBidi" w:cstheme="majorBidi"/>
          <w:szCs w:val="22"/>
          <w:lang w:eastAsia="ja-JP"/>
        </w:rPr>
      </w:pPr>
    </w:p>
    <w:p w14:paraId="0691706B" w14:textId="77777777" w:rsidR="001A274F" w:rsidRPr="00D21D8C" w:rsidRDefault="00DA418A">
      <w:pPr>
        <w:keepNext/>
        <w:tabs>
          <w:tab w:val="clear" w:pos="567"/>
        </w:tabs>
        <w:spacing w:line="240" w:lineRule="auto"/>
        <w:rPr>
          <w:rFonts w:asciiTheme="majorBidi" w:hAnsiTheme="majorBidi" w:cstheme="majorBidi"/>
          <w:szCs w:val="22"/>
          <w:u w:val="single"/>
          <w:lang w:eastAsia="ja-JP"/>
        </w:rPr>
      </w:pPr>
      <w:r w:rsidRPr="00D21D8C">
        <w:rPr>
          <w:rFonts w:asciiTheme="majorBidi" w:hAnsiTheme="majorBidi" w:cstheme="majorBidi"/>
          <w:color w:val="000000"/>
          <w:szCs w:val="22"/>
          <w:u w:val="single" w:color="000000"/>
          <w:lang w:eastAsia="ja-JP"/>
        </w:rPr>
        <w:t>Lactose</w:t>
      </w:r>
      <w:r w:rsidRPr="00D21D8C">
        <w:rPr>
          <w:rFonts w:asciiTheme="majorBidi" w:hAnsiTheme="majorBidi" w:cstheme="majorBidi"/>
          <w:color w:val="000000"/>
          <w:szCs w:val="22"/>
          <w:u w:val="single" w:color="FFFFFF"/>
          <w:lang w:eastAsia="ja-JP"/>
        </w:rPr>
        <w:br/>
      </w:r>
    </w:p>
    <w:p w14:paraId="149274BE" w14:textId="4567E08C" w:rsidR="001A274F" w:rsidRPr="00D21D8C" w:rsidRDefault="00DA418A">
      <w:pPr>
        <w:keepNext/>
        <w:tabs>
          <w:tab w:val="clear" w:pos="567"/>
        </w:tabs>
        <w:spacing w:line="240" w:lineRule="auto"/>
        <w:rPr>
          <w:rFonts w:asciiTheme="majorBidi" w:hAnsiTheme="majorBidi" w:cstheme="majorBidi"/>
          <w:szCs w:val="22"/>
          <w:lang w:eastAsia="ja-JP"/>
        </w:rPr>
      </w:pPr>
      <w:r w:rsidRPr="00D21D8C">
        <w:rPr>
          <w:rFonts w:asciiTheme="majorBidi" w:hAnsiTheme="majorBidi" w:cstheme="majorBidi"/>
          <w:color w:val="000000"/>
          <w:szCs w:val="22"/>
          <w:u w:color="FFFFFF"/>
        </w:rPr>
        <w:t xml:space="preserve">Patiënten met zeldzame erfelijke aandoeningen </w:t>
      </w:r>
      <w:r w:rsidR="0057556B" w:rsidRPr="00D21D8C">
        <w:rPr>
          <w:rFonts w:asciiTheme="majorBidi" w:hAnsiTheme="majorBidi" w:cstheme="majorBidi"/>
          <w:color w:val="000000"/>
          <w:szCs w:val="22"/>
          <w:u w:color="FFFFFF"/>
        </w:rPr>
        <w:t xml:space="preserve">als </w:t>
      </w:r>
      <w:r w:rsidRPr="00D21D8C">
        <w:rPr>
          <w:rFonts w:asciiTheme="majorBidi" w:hAnsiTheme="majorBidi" w:cstheme="majorBidi"/>
          <w:color w:val="000000"/>
          <w:szCs w:val="22"/>
          <w:u w:color="FFFFFF"/>
        </w:rPr>
        <w:t xml:space="preserve">galactose-intolerantie, </w:t>
      </w:r>
      <w:r w:rsidR="00465C04" w:rsidRPr="00D21D8C">
        <w:rPr>
          <w:rFonts w:asciiTheme="majorBidi" w:hAnsiTheme="majorBidi" w:cstheme="majorBidi"/>
          <w:color w:val="000000"/>
          <w:szCs w:val="22"/>
          <w:u w:color="FFFFFF"/>
        </w:rPr>
        <w:t xml:space="preserve">algehele </w:t>
      </w:r>
      <w:r w:rsidRPr="00D21D8C">
        <w:rPr>
          <w:rFonts w:asciiTheme="majorBidi" w:hAnsiTheme="majorBidi" w:cstheme="majorBidi"/>
          <w:color w:val="000000"/>
          <w:szCs w:val="22"/>
          <w:u w:color="FFFFFF"/>
        </w:rPr>
        <w:t>lactasedeficiëntie of glucose</w:t>
      </w:r>
      <w:r w:rsidR="00465C04" w:rsidRPr="00D21D8C">
        <w:rPr>
          <w:rFonts w:asciiTheme="majorBidi" w:hAnsiTheme="majorBidi" w:cstheme="majorBidi"/>
          <w:color w:val="000000"/>
          <w:szCs w:val="22"/>
          <w:u w:color="FFFFFF"/>
        </w:rPr>
        <w:t>-</w:t>
      </w:r>
      <w:r w:rsidRPr="00D21D8C">
        <w:rPr>
          <w:rFonts w:asciiTheme="majorBidi" w:hAnsiTheme="majorBidi" w:cstheme="majorBidi"/>
          <w:color w:val="000000"/>
          <w:szCs w:val="22"/>
          <w:u w:color="FFFFFF"/>
        </w:rPr>
        <w:t>galactosemalabsorptie</w:t>
      </w:r>
      <w:r w:rsidR="00465C04" w:rsidRPr="00D21D8C">
        <w:rPr>
          <w:rFonts w:asciiTheme="majorBidi" w:hAnsiTheme="majorBidi" w:cstheme="majorBidi"/>
          <w:color w:val="000000"/>
          <w:szCs w:val="22"/>
          <w:u w:color="FFFFFF"/>
        </w:rPr>
        <w:t>,</w:t>
      </w:r>
      <w:r w:rsidRPr="00D21D8C">
        <w:rPr>
          <w:rFonts w:asciiTheme="majorBidi" w:hAnsiTheme="majorBidi" w:cstheme="majorBidi"/>
          <w:color w:val="000000"/>
          <w:szCs w:val="22"/>
          <w:u w:color="FFFFFF"/>
        </w:rPr>
        <w:t xml:space="preserve"> dienen dit geneesmiddel niet te gebruiken.</w:t>
      </w:r>
    </w:p>
    <w:p w14:paraId="51955585" w14:textId="77777777" w:rsidR="001A274F" w:rsidRPr="00D21D8C" w:rsidRDefault="001A274F">
      <w:pPr>
        <w:tabs>
          <w:tab w:val="clear" w:pos="567"/>
        </w:tabs>
        <w:spacing w:line="240" w:lineRule="auto"/>
        <w:rPr>
          <w:rFonts w:asciiTheme="majorBidi" w:hAnsiTheme="majorBidi" w:cstheme="majorBidi"/>
          <w:szCs w:val="22"/>
          <w:lang w:eastAsia="ja-JP"/>
        </w:rPr>
      </w:pPr>
    </w:p>
    <w:p w14:paraId="68FEA781" w14:textId="77777777" w:rsidR="001A274F" w:rsidRPr="00D21D8C" w:rsidRDefault="00DA418A">
      <w:pPr>
        <w:keepNext/>
        <w:tabs>
          <w:tab w:val="clear" w:pos="567"/>
        </w:tabs>
        <w:spacing w:line="240" w:lineRule="auto"/>
        <w:rPr>
          <w:rFonts w:asciiTheme="majorBidi" w:hAnsiTheme="majorBidi" w:cstheme="majorBidi"/>
          <w:szCs w:val="22"/>
          <w:u w:val="single"/>
          <w:lang w:eastAsia="ja-JP"/>
        </w:rPr>
      </w:pPr>
      <w:r w:rsidRPr="00D21D8C">
        <w:rPr>
          <w:rFonts w:asciiTheme="majorBidi" w:hAnsiTheme="majorBidi" w:cstheme="majorBidi"/>
          <w:color w:val="000000"/>
          <w:szCs w:val="22"/>
          <w:u w:val="single" w:color="000000"/>
          <w:lang w:eastAsia="ja-JP"/>
        </w:rPr>
        <w:t>Natrium</w:t>
      </w:r>
      <w:r w:rsidRPr="00D21D8C">
        <w:rPr>
          <w:rFonts w:asciiTheme="majorBidi" w:hAnsiTheme="majorBidi" w:cstheme="majorBidi"/>
          <w:color w:val="000000"/>
          <w:szCs w:val="22"/>
          <w:u w:val="single" w:color="FFFFFF"/>
          <w:lang w:eastAsia="ja-JP"/>
        </w:rPr>
        <w:br/>
      </w:r>
    </w:p>
    <w:p w14:paraId="0C6CF80D" w14:textId="6C3EAE13" w:rsidR="001A274F" w:rsidRPr="00D21D8C" w:rsidRDefault="00DA418A">
      <w:pPr>
        <w:keepNext/>
        <w:tabs>
          <w:tab w:val="clear" w:pos="567"/>
        </w:tabs>
        <w:spacing w:line="240" w:lineRule="auto"/>
        <w:rPr>
          <w:rFonts w:asciiTheme="majorBidi" w:hAnsiTheme="majorBidi" w:cstheme="majorBidi"/>
          <w:i/>
          <w:szCs w:val="22"/>
        </w:rPr>
      </w:pPr>
      <w:r w:rsidRPr="00D21D8C">
        <w:rPr>
          <w:rFonts w:asciiTheme="majorBidi" w:hAnsiTheme="majorBidi" w:cstheme="majorBidi"/>
          <w:color w:val="000000"/>
          <w:szCs w:val="22"/>
          <w:u w:color="FFFFFF"/>
        </w:rPr>
        <w:t>Dit middel bevat minder dan 1 mmol natrium (23 mg) per dagelijkse dosis van 200 mg, dat wil zeggen dat het in wezen ‘natriumvrij’ is.</w:t>
      </w:r>
    </w:p>
    <w:p w14:paraId="4B74CBAF" w14:textId="77777777" w:rsidR="001A274F" w:rsidRPr="00D21D8C" w:rsidRDefault="001A274F">
      <w:pPr>
        <w:spacing w:line="240" w:lineRule="auto"/>
        <w:outlineLvl w:val="0"/>
        <w:rPr>
          <w:rFonts w:asciiTheme="majorBidi" w:hAnsiTheme="majorBidi" w:cstheme="majorBidi"/>
          <w:szCs w:val="22"/>
        </w:rPr>
      </w:pPr>
    </w:p>
    <w:p w14:paraId="5AB6E4EB" w14:textId="1E801A47" w:rsidR="001A274F" w:rsidRPr="00D21D8C" w:rsidRDefault="00DA418A">
      <w:pPr>
        <w:keepNext/>
        <w:spacing w:line="240" w:lineRule="auto"/>
        <w:ind w:left="567" w:hanging="567"/>
        <w:outlineLvl w:val="0"/>
        <w:rPr>
          <w:rFonts w:asciiTheme="majorBidi" w:hAnsiTheme="majorBidi" w:cstheme="majorBidi"/>
          <w:szCs w:val="22"/>
        </w:rPr>
      </w:pPr>
      <w:r w:rsidRPr="00D21D8C">
        <w:rPr>
          <w:rFonts w:asciiTheme="majorBidi" w:hAnsiTheme="majorBidi" w:cstheme="majorBidi"/>
          <w:b/>
          <w:bCs/>
          <w:color w:val="000000"/>
          <w:szCs w:val="22"/>
          <w:u w:color="FFFFFF"/>
        </w:rPr>
        <w:t>4.5</w:t>
      </w:r>
      <w:r w:rsidRPr="00D21D8C">
        <w:rPr>
          <w:rFonts w:asciiTheme="majorBidi" w:hAnsiTheme="majorBidi" w:cstheme="majorBidi"/>
          <w:b/>
          <w:bCs/>
          <w:color w:val="000000"/>
          <w:szCs w:val="22"/>
          <w:u w:color="FFFFFF"/>
        </w:rPr>
        <w:tab/>
        <w:t>Interacties met andere geneesmiddelen en andere vormen van interactie</w:t>
      </w:r>
      <w:r w:rsidR="0011019E" w:rsidRPr="00D21D8C">
        <w:rPr>
          <w:rFonts w:asciiTheme="majorBidi" w:hAnsiTheme="majorBidi" w:cstheme="majorBidi"/>
          <w:b/>
          <w:bCs/>
          <w:color w:val="000000"/>
          <w:szCs w:val="22"/>
          <w:u w:color="FFFFFF"/>
        </w:rPr>
        <w:fldChar w:fldCharType="begin"/>
      </w:r>
      <w:r w:rsidR="0011019E" w:rsidRPr="00D21D8C">
        <w:rPr>
          <w:rFonts w:asciiTheme="majorBidi" w:hAnsiTheme="majorBidi" w:cstheme="majorBidi"/>
          <w:b/>
          <w:bCs/>
          <w:color w:val="000000"/>
          <w:szCs w:val="22"/>
          <w:u w:color="FFFFFF"/>
        </w:rPr>
        <w:instrText xml:space="preserve"> DOCVARIABLE vault_nd_78c27c1e-9c5a-4602-a676-43ad497d555e \* MERGEFORMAT </w:instrText>
      </w:r>
      <w:r w:rsidR="0011019E" w:rsidRPr="00D21D8C">
        <w:rPr>
          <w:rFonts w:asciiTheme="majorBidi" w:hAnsiTheme="majorBidi" w:cstheme="majorBidi"/>
          <w:b/>
          <w:bCs/>
          <w:color w:val="000000"/>
          <w:szCs w:val="22"/>
          <w:u w:color="FFFFFF"/>
        </w:rPr>
        <w:fldChar w:fldCharType="separate"/>
      </w:r>
      <w:r w:rsidR="0011019E" w:rsidRPr="00D21D8C">
        <w:rPr>
          <w:rFonts w:asciiTheme="majorBidi" w:hAnsiTheme="majorBidi" w:cstheme="majorBidi"/>
          <w:b/>
          <w:bCs/>
          <w:color w:val="000000"/>
          <w:szCs w:val="22"/>
          <w:u w:color="FFFFFF"/>
        </w:rPr>
        <w:t xml:space="preserve"> </w:t>
      </w:r>
      <w:r w:rsidR="0011019E" w:rsidRPr="00D21D8C">
        <w:rPr>
          <w:rFonts w:asciiTheme="majorBidi" w:hAnsiTheme="majorBidi" w:cstheme="majorBidi"/>
          <w:b/>
          <w:bCs/>
          <w:color w:val="000000"/>
          <w:szCs w:val="22"/>
          <w:u w:color="FFFFFF"/>
        </w:rPr>
        <w:fldChar w:fldCharType="end"/>
      </w:r>
    </w:p>
    <w:p w14:paraId="3578FE3D" w14:textId="77777777" w:rsidR="001A274F" w:rsidRPr="00D21D8C" w:rsidRDefault="001A274F">
      <w:pPr>
        <w:keepNext/>
        <w:spacing w:line="240" w:lineRule="auto"/>
        <w:rPr>
          <w:rFonts w:asciiTheme="majorBidi" w:hAnsiTheme="majorBidi" w:cstheme="majorBidi"/>
          <w:szCs w:val="22"/>
        </w:rPr>
      </w:pPr>
    </w:p>
    <w:p w14:paraId="7DBE2F17" w14:textId="3BA90A4F"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color="FFFFFF"/>
        </w:rPr>
        <w:t xml:space="preserve">Pirtobrutinib wordt </w:t>
      </w:r>
      <w:r w:rsidR="00B91B19" w:rsidRPr="00D21D8C">
        <w:rPr>
          <w:rFonts w:asciiTheme="majorBidi" w:hAnsiTheme="majorBidi" w:cstheme="majorBidi"/>
          <w:color w:val="000000"/>
          <w:szCs w:val="22"/>
          <w:u w:color="FFFFFF"/>
        </w:rPr>
        <w:t xml:space="preserve">voornamelijk </w:t>
      </w:r>
      <w:r w:rsidRPr="00D21D8C">
        <w:rPr>
          <w:rFonts w:asciiTheme="majorBidi" w:hAnsiTheme="majorBidi" w:cstheme="majorBidi"/>
          <w:color w:val="000000"/>
          <w:szCs w:val="22"/>
          <w:u w:color="FFFFFF"/>
        </w:rPr>
        <w:t>gemetaboliseerd door CYP3A4, UGT1A8 en UGT1A9.</w:t>
      </w:r>
    </w:p>
    <w:p w14:paraId="042189C2" w14:textId="77777777" w:rsidR="001A274F" w:rsidRPr="00D21D8C" w:rsidRDefault="001A274F">
      <w:pPr>
        <w:spacing w:line="240" w:lineRule="auto"/>
        <w:rPr>
          <w:rFonts w:asciiTheme="majorBidi" w:hAnsiTheme="majorBidi" w:cstheme="majorBidi"/>
          <w:szCs w:val="22"/>
        </w:rPr>
      </w:pPr>
    </w:p>
    <w:p w14:paraId="15AE8975" w14:textId="77777777"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val="single" w:color="000000"/>
        </w:rPr>
        <w:t>Effecten van andere geneesmiddelen op de farmacokinetiek van pirtobrutinib</w:t>
      </w:r>
    </w:p>
    <w:p w14:paraId="63DC06E6" w14:textId="77777777" w:rsidR="001A274F" w:rsidRPr="00D21D8C" w:rsidRDefault="001A274F">
      <w:pPr>
        <w:keepNext/>
        <w:spacing w:line="240" w:lineRule="auto"/>
        <w:rPr>
          <w:rFonts w:asciiTheme="majorBidi" w:hAnsiTheme="majorBidi" w:cstheme="majorBidi"/>
          <w:szCs w:val="22"/>
          <w:u w:val="single"/>
        </w:rPr>
      </w:pPr>
    </w:p>
    <w:p w14:paraId="0B0184A4" w14:textId="77777777" w:rsidR="001A274F" w:rsidRPr="00D21D8C" w:rsidRDefault="00DA418A">
      <w:pPr>
        <w:keepNext/>
        <w:spacing w:line="240" w:lineRule="auto"/>
        <w:rPr>
          <w:rFonts w:asciiTheme="majorBidi" w:hAnsiTheme="majorBidi" w:cstheme="majorBidi"/>
          <w:i/>
          <w:iCs/>
          <w:szCs w:val="22"/>
        </w:rPr>
      </w:pPr>
      <w:r w:rsidRPr="00D21D8C">
        <w:rPr>
          <w:rFonts w:asciiTheme="majorBidi" w:hAnsiTheme="majorBidi" w:cstheme="majorBidi"/>
          <w:i/>
          <w:iCs/>
          <w:color w:val="000000"/>
          <w:szCs w:val="22"/>
          <w:u w:color="FFFFFF"/>
        </w:rPr>
        <w:t>CYP3A-remmers</w:t>
      </w:r>
    </w:p>
    <w:p w14:paraId="544A4E4F" w14:textId="26FDCEDB" w:rsidR="001A274F" w:rsidRPr="00D21D8C" w:rsidRDefault="00DA418A">
      <w:pPr>
        <w:keepNext/>
        <w:spacing w:line="240" w:lineRule="auto"/>
        <w:rPr>
          <w:rStyle w:val="Verwijzingopmerking"/>
          <w:rFonts w:asciiTheme="majorBidi" w:hAnsiTheme="majorBidi" w:cstheme="majorBidi"/>
          <w:sz w:val="22"/>
          <w:szCs w:val="22"/>
        </w:rPr>
      </w:pPr>
      <w:r w:rsidRPr="00D21D8C">
        <w:rPr>
          <w:rStyle w:val="Verwijzingopmerking"/>
          <w:rFonts w:asciiTheme="majorBidi" w:hAnsiTheme="majorBidi" w:cstheme="majorBidi"/>
          <w:color w:val="000000"/>
          <w:sz w:val="22"/>
          <w:szCs w:val="22"/>
          <w:u w:color="FFFFFF"/>
        </w:rPr>
        <w:t xml:space="preserve">In een klinisch onderzoek verhoogde itraconazol, een sterke CYP3A4-remmer, </w:t>
      </w:r>
      <w:r w:rsidR="0034182B" w:rsidRPr="00D21D8C">
        <w:rPr>
          <w:rStyle w:val="Verwijzingopmerking"/>
          <w:rFonts w:asciiTheme="majorBidi" w:hAnsiTheme="majorBidi" w:cstheme="majorBidi"/>
          <w:color w:val="000000"/>
          <w:sz w:val="22"/>
          <w:szCs w:val="22"/>
          <w:u w:color="FFFFFF"/>
        </w:rPr>
        <w:t>het gebied onder de curve</w:t>
      </w:r>
      <w:r w:rsidR="0034182B" w:rsidRPr="00D21D8C" w:rsidDel="0034182B">
        <w:rPr>
          <w:rStyle w:val="Verwijzingopmerking"/>
          <w:rFonts w:asciiTheme="majorBidi" w:hAnsiTheme="majorBidi" w:cstheme="majorBidi"/>
          <w:color w:val="000000"/>
          <w:sz w:val="22"/>
          <w:szCs w:val="22"/>
          <w:u w:color="FFFFFF"/>
        </w:rPr>
        <w:t xml:space="preserve"> </w:t>
      </w:r>
      <w:r w:rsidR="0034182B" w:rsidRPr="00D21D8C">
        <w:rPr>
          <w:rStyle w:val="Verwijzingopmerking"/>
          <w:rFonts w:asciiTheme="majorBidi" w:hAnsiTheme="majorBidi" w:cstheme="majorBidi"/>
          <w:color w:val="000000"/>
          <w:sz w:val="22"/>
          <w:szCs w:val="22"/>
          <w:u w:color="FFFFFF"/>
        </w:rPr>
        <w:t>(</w:t>
      </w:r>
      <w:r w:rsidRPr="00D21D8C">
        <w:rPr>
          <w:rStyle w:val="Verwijzingopmerking"/>
          <w:rFonts w:asciiTheme="majorBidi" w:hAnsiTheme="majorBidi" w:cstheme="majorBidi"/>
          <w:color w:val="000000"/>
          <w:sz w:val="22"/>
          <w:szCs w:val="22"/>
          <w:u w:color="FFFFFF"/>
        </w:rPr>
        <w:t>AUC</w:t>
      </w:r>
      <w:r w:rsidR="0034182B" w:rsidRPr="00D21D8C">
        <w:rPr>
          <w:rStyle w:val="Verwijzingopmerking"/>
          <w:rFonts w:asciiTheme="majorBidi" w:hAnsiTheme="majorBidi" w:cstheme="majorBidi"/>
          <w:color w:val="000000"/>
          <w:sz w:val="22"/>
          <w:szCs w:val="22"/>
          <w:u w:color="FFFFFF"/>
        </w:rPr>
        <w:t>)</w:t>
      </w:r>
      <w:r w:rsidRPr="00D21D8C">
        <w:rPr>
          <w:rStyle w:val="Verwijzingopmerking"/>
          <w:rFonts w:asciiTheme="majorBidi" w:hAnsiTheme="majorBidi" w:cstheme="majorBidi"/>
          <w:color w:val="000000"/>
          <w:sz w:val="22"/>
          <w:szCs w:val="22"/>
          <w:u w:color="FFFFFF"/>
        </w:rPr>
        <w:t xml:space="preserve"> van pirtobrutinib met 48% en </w:t>
      </w:r>
      <w:r w:rsidR="00105C4C" w:rsidRPr="00D21D8C">
        <w:rPr>
          <w:rStyle w:val="Verwijzingopmerking"/>
          <w:rFonts w:asciiTheme="majorBidi" w:hAnsiTheme="majorBidi" w:cstheme="majorBidi"/>
          <w:color w:val="000000"/>
          <w:sz w:val="22"/>
          <w:szCs w:val="22"/>
          <w:u w:color="FFFFFF"/>
        </w:rPr>
        <w:t xml:space="preserve">het </w:t>
      </w:r>
      <w:r w:rsidR="00B91B19" w:rsidRPr="00D21D8C">
        <w:rPr>
          <w:rStyle w:val="Verwijzingopmerking"/>
          <w:rFonts w:asciiTheme="majorBidi" w:hAnsiTheme="majorBidi" w:cstheme="majorBidi"/>
          <w:color w:val="000000"/>
          <w:sz w:val="22"/>
          <w:szCs w:val="22"/>
          <w:u w:color="FFFFFF"/>
        </w:rPr>
        <w:t xml:space="preserve">veranderde </w:t>
      </w:r>
      <w:r w:rsidRPr="00D21D8C">
        <w:rPr>
          <w:rStyle w:val="Verwijzingopmerking"/>
          <w:rFonts w:asciiTheme="majorBidi" w:hAnsiTheme="majorBidi" w:cstheme="majorBidi"/>
          <w:color w:val="000000"/>
          <w:sz w:val="22"/>
          <w:szCs w:val="22"/>
          <w:u w:color="FFFFFF"/>
        </w:rPr>
        <w:t>de C</w:t>
      </w:r>
      <w:r w:rsidRPr="00D21D8C">
        <w:rPr>
          <w:rStyle w:val="Verwijzingopmerking"/>
          <w:rFonts w:asciiTheme="majorBidi" w:hAnsiTheme="majorBidi" w:cstheme="majorBidi"/>
          <w:color w:val="000000"/>
          <w:sz w:val="22"/>
          <w:szCs w:val="22"/>
          <w:u w:color="FFFFFF"/>
          <w:vertAlign w:val="subscript"/>
        </w:rPr>
        <w:t xml:space="preserve">max </w:t>
      </w:r>
      <w:r w:rsidRPr="00D21D8C">
        <w:rPr>
          <w:rStyle w:val="Verwijzingopmerking"/>
          <w:rFonts w:asciiTheme="majorBidi" w:hAnsiTheme="majorBidi" w:cstheme="majorBidi"/>
          <w:color w:val="000000"/>
          <w:sz w:val="22"/>
          <w:szCs w:val="22"/>
          <w:u w:color="FFFFFF"/>
        </w:rPr>
        <w:t>van pirtobrutinib niet. Deze toename in blootstelling aan pirtobrutinib</w:t>
      </w:r>
      <w:r w:rsidR="00361F08" w:rsidRPr="00D21D8C">
        <w:rPr>
          <w:rStyle w:val="Verwijzingopmerking"/>
          <w:rFonts w:asciiTheme="majorBidi" w:hAnsiTheme="majorBidi" w:cstheme="majorBidi"/>
          <w:color w:val="000000"/>
          <w:sz w:val="22"/>
          <w:szCs w:val="22"/>
          <w:u w:color="FFFFFF"/>
        </w:rPr>
        <w:t xml:space="preserve"> heeft geen </w:t>
      </w:r>
      <w:r w:rsidRPr="00D21D8C">
        <w:rPr>
          <w:rStyle w:val="Verwijzingopmerking"/>
          <w:rFonts w:asciiTheme="majorBidi" w:hAnsiTheme="majorBidi" w:cstheme="majorBidi"/>
          <w:color w:val="000000"/>
          <w:sz w:val="22"/>
          <w:szCs w:val="22"/>
          <w:u w:color="FFFFFF"/>
        </w:rPr>
        <w:t>klinisch</w:t>
      </w:r>
      <w:r w:rsidR="00AE3616" w:rsidRPr="00D21D8C">
        <w:rPr>
          <w:rStyle w:val="Verwijzingopmerking"/>
          <w:rFonts w:asciiTheme="majorBidi" w:hAnsiTheme="majorBidi" w:cstheme="majorBidi"/>
          <w:color w:val="000000"/>
          <w:sz w:val="22"/>
          <w:szCs w:val="22"/>
          <w:u w:color="FFFFFF"/>
        </w:rPr>
        <w:t>e betekenis</w:t>
      </w:r>
      <w:r w:rsidRPr="00D21D8C">
        <w:rPr>
          <w:rStyle w:val="Verwijzingopmerking"/>
          <w:rFonts w:asciiTheme="majorBidi" w:hAnsiTheme="majorBidi" w:cstheme="majorBidi"/>
          <w:color w:val="000000"/>
          <w:sz w:val="22"/>
          <w:szCs w:val="22"/>
          <w:u w:color="FFFFFF"/>
        </w:rPr>
        <w:t xml:space="preserve">. Er is daarom geen dosisaanpassing van Jaypirca </w:t>
      </w:r>
      <w:r w:rsidR="009014D8" w:rsidRPr="00D21D8C">
        <w:rPr>
          <w:rStyle w:val="Verwijzingopmerking"/>
          <w:rFonts w:asciiTheme="majorBidi" w:hAnsiTheme="majorBidi" w:cstheme="majorBidi"/>
          <w:color w:val="000000"/>
          <w:sz w:val="22"/>
          <w:szCs w:val="22"/>
          <w:u w:color="FFFFFF"/>
        </w:rPr>
        <w:t xml:space="preserve">nodig </w:t>
      </w:r>
      <w:r w:rsidRPr="00D21D8C">
        <w:rPr>
          <w:rStyle w:val="Verwijzingopmerking"/>
          <w:rFonts w:asciiTheme="majorBidi" w:hAnsiTheme="majorBidi" w:cstheme="majorBidi"/>
          <w:color w:val="000000"/>
          <w:sz w:val="22"/>
          <w:szCs w:val="22"/>
          <w:u w:color="FFFFFF"/>
        </w:rPr>
        <w:t xml:space="preserve">met CYP3A-remmers. </w:t>
      </w:r>
    </w:p>
    <w:p w14:paraId="41AB1885" w14:textId="77777777" w:rsidR="001A274F" w:rsidRPr="00D21D8C" w:rsidRDefault="001A274F">
      <w:pPr>
        <w:spacing w:line="240" w:lineRule="auto"/>
        <w:rPr>
          <w:rFonts w:asciiTheme="majorBidi" w:hAnsiTheme="majorBidi" w:cstheme="majorBidi"/>
          <w:szCs w:val="22"/>
        </w:rPr>
      </w:pPr>
    </w:p>
    <w:p w14:paraId="5BD88EC4" w14:textId="77777777" w:rsidR="001A274F" w:rsidRPr="00D21D8C" w:rsidRDefault="00DA418A" w:rsidP="000D0EC8">
      <w:pPr>
        <w:spacing w:line="240" w:lineRule="auto"/>
        <w:rPr>
          <w:rFonts w:asciiTheme="majorBidi" w:hAnsiTheme="majorBidi" w:cstheme="majorBidi"/>
          <w:i/>
          <w:iCs/>
          <w:szCs w:val="22"/>
        </w:rPr>
      </w:pPr>
      <w:r w:rsidRPr="00D21D8C">
        <w:rPr>
          <w:rFonts w:asciiTheme="majorBidi" w:hAnsiTheme="majorBidi" w:cstheme="majorBidi"/>
          <w:i/>
          <w:iCs/>
          <w:color w:val="000000"/>
          <w:szCs w:val="22"/>
          <w:u w:color="FFFFFF"/>
        </w:rPr>
        <w:t>CYP3A-inductoren</w:t>
      </w:r>
    </w:p>
    <w:p w14:paraId="7DE0FC96" w14:textId="5B07AA9F" w:rsidR="00067EA3" w:rsidRPr="000D0EC8" w:rsidRDefault="00DA418A" w:rsidP="000D0EC8">
      <w:pPr>
        <w:spacing w:line="240" w:lineRule="auto"/>
        <w:rPr>
          <w:rFonts w:asciiTheme="majorBidi" w:hAnsiTheme="majorBidi" w:cstheme="majorBidi"/>
          <w:color w:val="000000"/>
          <w:szCs w:val="22"/>
          <w:u w:color="FFFFFF"/>
        </w:rPr>
      </w:pPr>
      <w:r w:rsidRPr="00D21D8C">
        <w:rPr>
          <w:rStyle w:val="Verwijzingopmerking"/>
          <w:rFonts w:asciiTheme="majorBidi" w:hAnsiTheme="majorBidi" w:cstheme="majorBidi"/>
          <w:color w:val="000000"/>
          <w:sz w:val="22"/>
          <w:szCs w:val="22"/>
          <w:u w:color="FFFFFF"/>
        </w:rPr>
        <w:t>In een klinisch onderzoek verlaagde rifampicine, een sterke CYP3A-inductor, de AUC en C</w:t>
      </w:r>
      <w:r w:rsidRPr="00D21D8C">
        <w:rPr>
          <w:rStyle w:val="Verwijzingopmerking"/>
          <w:rFonts w:asciiTheme="majorBidi" w:hAnsiTheme="majorBidi" w:cstheme="majorBidi"/>
          <w:color w:val="000000"/>
          <w:sz w:val="22"/>
          <w:szCs w:val="22"/>
          <w:u w:color="FFFFFF"/>
          <w:vertAlign w:val="subscript"/>
        </w:rPr>
        <w:t>max</w:t>
      </w:r>
      <w:r w:rsidRPr="00D21D8C">
        <w:rPr>
          <w:rStyle w:val="Verwijzingopmerking"/>
          <w:rFonts w:asciiTheme="majorBidi" w:hAnsiTheme="majorBidi" w:cstheme="majorBidi"/>
          <w:color w:val="000000"/>
          <w:sz w:val="22"/>
          <w:szCs w:val="22"/>
          <w:u w:color="FFFFFF"/>
        </w:rPr>
        <w:t xml:space="preserve"> van pirtobrutinib met respectievelijk 71% en 42%. </w:t>
      </w:r>
      <w:r w:rsidR="000C47E9" w:rsidRPr="00D21D8C">
        <w:rPr>
          <w:rStyle w:val="Verwijzingopmerking"/>
          <w:rFonts w:asciiTheme="majorBidi" w:hAnsiTheme="majorBidi" w:cstheme="majorBidi"/>
          <w:color w:val="000000"/>
          <w:sz w:val="22"/>
          <w:szCs w:val="22"/>
          <w:u w:color="FFFFFF"/>
        </w:rPr>
        <w:t xml:space="preserve">Hoewel deze afname van de blootstelling aan pirtobrutinib naar verwachting niet klinisch relevant is, dienen sterke CYP3A-inductoren </w:t>
      </w:r>
      <w:r w:rsidR="00886900" w:rsidRPr="00D21D8C">
        <w:rPr>
          <w:rStyle w:val="Verwijzingopmerking"/>
          <w:rFonts w:asciiTheme="majorBidi" w:hAnsiTheme="majorBidi" w:cstheme="majorBidi"/>
          <w:color w:val="000000"/>
          <w:sz w:val="22"/>
          <w:szCs w:val="22"/>
          <w:u w:color="FFFFFF"/>
        </w:rPr>
        <w:t xml:space="preserve">(bijv. rifampicine, carbamazepine, fenytoïne) </w:t>
      </w:r>
      <w:r w:rsidR="000C47E9" w:rsidRPr="00D21D8C">
        <w:rPr>
          <w:rStyle w:val="Verwijzingopmerking"/>
          <w:rFonts w:asciiTheme="majorBidi" w:hAnsiTheme="majorBidi" w:cstheme="majorBidi"/>
          <w:color w:val="000000"/>
          <w:sz w:val="22"/>
          <w:szCs w:val="22"/>
          <w:u w:color="FFFFFF"/>
        </w:rPr>
        <w:t>vermeden te worden</w:t>
      </w:r>
      <w:r w:rsidR="00886900" w:rsidRPr="00D21D8C">
        <w:rPr>
          <w:rStyle w:val="Verwijzingopmerking"/>
          <w:rFonts w:asciiTheme="majorBidi" w:hAnsiTheme="majorBidi" w:cstheme="majorBidi"/>
          <w:color w:val="000000"/>
          <w:sz w:val="22"/>
          <w:szCs w:val="22"/>
          <w:u w:color="FFFFFF"/>
        </w:rPr>
        <w:t>,</w:t>
      </w:r>
      <w:r w:rsidR="000C47E9" w:rsidRPr="00D21D8C">
        <w:rPr>
          <w:rStyle w:val="Verwijzingopmerking"/>
          <w:rFonts w:asciiTheme="majorBidi" w:hAnsiTheme="majorBidi" w:cstheme="majorBidi"/>
          <w:color w:val="000000"/>
          <w:sz w:val="22"/>
          <w:szCs w:val="22"/>
          <w:u w:color="FFFFFF"/>
        </w:rPr>
        <w:t xml:space="preserve"> </w:t>
      </w:r>
      <w:r w:rsidR="00886900" w:rsidRPr="00D21D8C">
        <w:rPr>
          <w:rStyle w:val="Verwijzingopmerking"/>
          <w:rFonts w:asciiTheme="majorBidi" w:hAnsiTheme="majorBidi" w:cstheme="majorBidi"/>
          <w:color w:val="000000"/>
          <w:sz w:val="22"/>
          <w:szCs w:val="22"/>
          <w:u w:color="FFFFFF"/>
        </w:rPr>
        <w:t>indien mogelijk</w:t>
      </w:r>
      <w:r w:rsidR="000C47E9" w:rsidRPr="00D21D8C">
        <w:rPr>
          <w:rStyle w:val="Verwijzingopmerking"/>
          <w:rFonts w:asciiTheme="majorBidi" w:hAnsiTheme="majorBidi" w:cstheme="majorBidi"/>
          <w:color w:val="000000"/>
          <w:sz w:val="22"/>
          <w:szCs w:val="22"/>
          <w:u w:color="FFFFFF"/>
        </w:rPr>
        <w:t>.</w:t>
      </w:r>
    </w:p>
    <w:p w14:paraId="2EE95CF6" w14:textId="77777777" w:rsidR="001A274F" w:rsidRPr="00D21D8C" w:rsidRDefault="001A274F">
      <w:pPr>
        <w:keepNext/>
        <w:spacing w:line="240" w:lineRule="auto"/>
        <w:rPr>
          <w:rStyle w:val="Verwijzingopmerking"/>
          <w:rFonts w:asciiTheme="majorBidi" w:hAnsiTheme="majorBidi" w:cstheme="majorBidi"/>
          <w:sz w:val="22"/>
          <w:szCs w:val="22"/>
          <w:u w:val="single"/>
        </w:rPr>
      </w:pPr>
    </w:p>
    <w:p w14:paraId="49A013EC" w14:textId="5358495D" w:rsidR="001A274F" w:rsidRPr="00D21D8C" w:rsidRDefault="00B91B19">
      <w:pPr>
        <w:keepNext/>
        <w:tabs>
          <w:tab w:val="clear" w:pos="567"/>
        </w:tabs>
        <w:spacing w:line="240" w:lineRule="auto"/>
        <w:rPr>
          <w:rFonts w:asciiTheme="majorBidi" w:hAnsiTheme="majorBidi" w:cstheme="majorBidi"/>
          <w:szCs w:val="22"/>
        </w:rPr>
      </w:pPr>
      <w:r w:rsidRPr="00D21D8C">
        <w:rPr>
          <w:rFonts w:asciiTheme="majorBidi" w:hAnsiTheme="majorBidi" w:cstheme="majorBidi"/>
          <w:i/>
          <w:iCs/>
          <w:color w:val="000000"/>
          <w:szCs w:val="22"/>
          <w:u w:color="FFFFFF"/>
        </w:rPr>
        <w:t xml:space="preserve">Gelijktijdige </w:t>
      </w:r>
      <w:r w:rsidR="00DA418A" w:rsidRPr="00D21D8C">
        <w:rPr>
          <w:rFonts w:asciiTheme="majorBidi" w:hAnsiTheme="majorBidi" w:cstheme="majorBidi"/>
          <w:i/>
          <w:iCs/>
          <w:color w:val="000000"/>
          <w:szCs w:val="22"/>
          <w:u w:color="FFFFFF"/>
        </w:rPr>
        <w:t xml:space="preserve">toediening met geneesmiddelen die protonpompremmers </w:t>
      </w:r>
      <w:r w:rsidRPr="00D21D8C">
        <w:rPr>
          <w:rFonts w:asciiTheme="majorBidi" w:hAnsiTheme="majorBidi" w:cstheme="majorBidi"/>
          <w:i/>
          <w:iCs/>
          <w:color w:val="000000"/>
          <w:szCs w:val="22"/>
          <w:u w:color="FFFFFF"/>
        </w:rPr>
        <w:t>zijn</w:t>
      </w:r>
    </w:p>
    <w:p w14:paraId="1D291450" w14:textId="425CC5D2" w:rsidR="001A274F" w:rsidRPr="00D21D8C" w:rsidRDefault="00DA418A">
      <w:pPr>
        <w:keepNext/>
        <w:tabs>
          <w:tab w:val="clear" w:pos="567"/>
        </w:tabs>
        <w:spacing w:line="240" w:lineRule="auto"/>
        <w:rPr>
          <w:rFonts w:asciiTheme="majorBidi" w:hAnsiTheme="majorBidi" w:cstheme="majorBidi"/>
          <w:szCs w:val="22"/>
        </w:rPr>
      </w:pPr>
      <w:r w:rsidRPr="00D21D8C">
        <w:rPr>
          <w:rFonts w:asciiTheme="majorBidi" w:hAnsiTheme="majorBidi" w:cstheme="majorBidi"/>
          <w:color w:val="000000"/>
          <w:szCs w:val="22"/>
          <w:u w:color="FFFFFF"/>
        </w:rPr>
        <w:t xml:space="preserve">Er werden geen </w:t>
      </w:r>
      <w:r w:rsidR="00B91B19" w:rsidRPr="00D21D8C">
        <w:rPr>
          <w:rFonts w:asciiTheme="majorBidi" w:hAnsiTheme="majorBidi" w:cstheme="majorBidi"/>
          <w:color w:val="000000"/>
          <w:szCs w:val="22"/>
          <w:u w:color="FFFFFF"/>
        </w:rPr>
        <w:t xml:space="preserve">klinisch significante </w:t>
      </w:r>
      <w:r w:rsidRPr="00D21D8C">
        <w:rPr>
          <w:rFonts w:asciiTheme="majorBidi" w:hAnsiTheme="majorBidi" w:cstheme="majorBidi"/>
          <w:color w:val="000000"/>
          <w:szCs w:val="22"/>
          <w:u w:color="FFFFFF"/>
        </w:rPr>
        <w:t xml:space="preserve">verschillen in </w:t>
      </w:r>
      <w:r w:rsidR="00B91B19" w:rsidRPr="00D21D8C">
        <w:rPr>
          <w:rFonts w:asciiTheme="majorBidi" w:hAnsiTheme="majorBidi" w:cstheme="majorBidi"/>
          <w:color w:val="000000"/>
          <w:szCs w:val="22"/>
          <w:u w:color="FFFFFF"/>
        </w:rPr>
        <w:t xml:space="preserve">de </w:t>
      </w:r>
      <w:r w:rsidRPr="00D21D8C">
        <w:rPr>
          <w:rFonts w:asciiTheme="majorBidi" w:hAnsiTheme="majorBidi" w:cstheme="majorBidi"/>
          <w:color w:val="000000"/>
          <w:szCs w:val="22"/>
          <w:u w:color="FFFFFF"/>
        </w:rPr>
        <w:t xml:space="preserve">farmacokinetiek van pirtobrutinib waargenomen </w:t>
      </w:r>
      <w:r w:rsidR="00B91B19" w:rsidRPr="00D21D8C">
        <w:rPr>
          <w:rFonts w:asciiTheme="majorBidi" w:hAnsiTheme="majorBidi" w:cstheme="majorBidi"/>
          <w:color w:val="000000"/>
          <w:szCs w:val="22"/>
          <w:u w:color="FFFFFF"/>
        </w:rPr>
        <w:t xml:space="preserve">bij </w:t>
      </w:r>
      <w:r w:rsidRPr="00D21D8C">
        <w:rPr>
          <w:rFonts w:asciiTheme="majorBidi" w:hAnsiTheme="majorBidi" w:cstheme="majorBidi"/>
          <w:color w:val="000000"/>
          <w:szCs w:val="22"/>
          <w:u w:color="FFFFFF"/>
        </w:rPr>
        <w:t>gelijktijdig</w:t>
      </w:r>
      <w:r w:rsidR="00D95BB0" w:rsidRPr="00D21D8C">
        <w:rPr>
          <w:rFonts w:asciiTheme="majorBidi" w:hAnsiTheme="majorBidi" w:cstheme="majorBidi"/>
          <w:color w:val="000000"/>
          <w:szCs w:val="22"/>
          <w:u w:color="FFFFFF"/>
        </w:rPr>
        <w:t>e</w:t>
      </w:r>
      <w:r w:rsidRPr="00D21D8C">
        <w:rPr>
          <w:rFonts w:asciiTheme="majorBidi" w:hAnsiTheme="majorBidi" w:cstheme="majorBidi"/>
          <w:color w:val="000000"/>
          <w:szCs w:val="22"/>
          <w:u w:color="FFFFFF"/>
        </w:rPr>
        <w:t xml:space="preserve"> </w:t>
      </w:r>
      <w:r w:rsidR="00B91B19" w:rsidRPr="00D21D8C">
        <w:rPr>
          <w:rFonts w:asciiTheme="majorBidi" w:hAnsiTheme="majorBidi" w:cstheme="majorBidi"/>
          <w:color w:val="000000"/>
          <w:szCs w:val="22"/>
          <w:u w:color="FFFFFF"/>
        </w:rPr>
        <w:t xml:space="preserve">toediening </w:t>
      </w:r>
      <w:r w:rsidRPr="00D21D8C">
        <w:rPr>
          <w:rFonts w:asciiTheme="majorBidi" w:hAnsiTheme="majorBidi" w:cstheme="majorBidi"/>
          <w:color w:val="000000"/>
          <w:szCs w:val="22"/>
          <w:u w:color="FFFFFF"/>
        </w:rPr>
        <w:t>met omeprazol, een protonpompremmer.</w:t>
      </w:r>
    </w:p>
    <w:p w14:paraId="4BFCF0CB" w14:textId="77777777" w:rsidR="001A274F" w:rsidRPr="00D21D8C" w:rsidRDefault="001A274F">
      <w:pPr>
        <w:spacing w:line="240" w:lineRule="auto"/>
        <w:rPr>
          <w:rFonts w:asciiTheme="majorBidi" w:hAnsiTheme="majorBidi" w:cstheme="majorBidi"/>
          <w:szCs w:val="22"/>
        </w:rPr>
      </w:pPr>
    </w:p>
    <w:p w14:paraId="41AE6A45" w14:textId="77777777"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val="single"/>
        </w:rPr>
        <w:t>Effecten van pirtobrutinib op de farmacokinetiek van andere geneesmiddelen (verhoogde plasmaconcentratie)</w:t>
      </w:r>
    </w:p>
    <w:p w14:paraId="5B2FC0B1" w14:textId="77777777" w:rsidR="001A274F" w:rsidRPr="00D21D8C" w:rsidRDefault="001A274F">
      <w:pPr>
        <w:keepNext/>
        <w:spacing w:line="240" w:lineRule="auto"/>
        <w:rPr>
          <w:rFonts w:asciiTheme="majorBidi" w:hAnsiTheme="majorBidi" w:cstheme="majorBidi"/>
          <w:szCs w:val="22"/>
          <w:u w:val="single"/>
        </w:rPr>
      </w:pPr>
    </w:p>
    <w:p w14:paraId="52002828" w14:textId="77777777" w:rsidR="001A274F" w:rsidRPr="00D21D8C" w:rsidRDefault="00DA418A">
      <w:pPr>
        <w:keepNext/>
        <w:tabs>
          <w:tab w:val="clear" w:pos="567"/>
        </w:tabs>
        <w:spacing w:line="240" w:lineRule="auto"/>
        <w:rPr>
          <w:rFonts w:asciiTheme="majorBidi" w:eastAsia="SimSun" w:hAnsiTheme="majorBidi" w:cstheme="majorBidi"/>
          <w:i/>
          <w:iCs/>
          <w:szCs w:val="22"/>
          <w:lang w:eastAsia="en-GB"/>
        </w:rPr>
      </w:pPr>
      <w:r w:rsidRPr="00D21D8C">
        <w:rPr>
          <w:rFonts w:asciiTheme="majorBidi" w:hAnsiTheme="majorBidi" w:cstheme="majorBidi"/>
          <w:i/>
          <w:iCs/>
          <w:color w:val="000000"/>
          <w:szCs w:val="22"/>
          <w:u w:color="FFFFFF"/>
          <w:lang w:eastAsia="en-GB"/>
        </w:rPr>
        <w:t>CYP2C8-substraten</w:t>
      </w:r>
    </w:p>
    <w:p w14:paraId="6B1168E9" w14:textId="77777777" w:rsidR="001A274F" w:rsidRPr="00D21D8C" w:rsidRDefault="00DA418A">
      <w:pPr>
        <w:keepNext/>
        <w:rPr>
          <w:rFonts w:asciiTheme="majorBidi" w:hAnsiTheme="majorBidi" w:cstheme="majorBidi"/>
          <w:szCs w:val="22"/>
        </w:rPr>
      </w:pPr>
      <w:r w:rsidRPr="00D21D8C">
        <w:rPr>
          <w:rFonts w:asciiTheme="majorBidi" w:hAnsiTheme="majorBidi" w:cstheme="majorBidi"/>
          <w:color w:val="000000"/>
          <w:szCs w:val="22"/>
          <w:u w:color="FFFFFF"/>
          <w:lang w:eastAsia="en-GB"/>
        </w:rPr>
        <w:t>Pirtobrutinib is een matige remmer van CYP2C8. Pirtobrutinib verhoogde de AUC en C</w:t>
      </w:r>
      <w:r w:rsidRPr="00D21D8C">
        <w:rPr>
          <w:rFonts w:asciiTheme="majorBidi" w:hAnsiTheme="majorBidi" w:cstheme="majorBidi"/>
          <w:color w:val="000000"/>
          <w:szCs w:val="22"/>
          <w:u w:color="FFFFFF"/>
          <w:vertAlign w:val="subscript"/>
          <w:lang w:eastAsia="en-GB"/>
        </w:rPr>
        <w:t>max</w:t>
      </w:r>
      <w:r w:rsidRPr="00D21D8C">
        <w:rPr>
          <w:rFonts w:asciiTheme="majorBidi" w:hAnsiTheme="majorBidi" w:cstheme="majorBidi"/>
          <w:color w:val="000000"/>
          <w:szCs w:val="22"/>
          <w:u w:color="FFFFFF"/>
          <w:lang w:eastAsia="en-GB"/>
        </w:rPr>
        <w:t xml:space="preserve"> van repaglinide (een substraat van CYP2C8) met respectievelijk 130% en 98%. </w:t>
      </w:r>
      <w:r w:rsidRPr="00D21D8C">
        <w:rPr>
          <w:rFonts w:asciiTheme="majorBidi" w:hAnsiTheme="majorBidi" w:cstheme="majorBidi"/>
          <w:color w:val="262626"/>
          <w:szCs w:val="22"/>
          <w:u w:color="FFFFFF"/>
          <w:lang w:eastAsia="en-GB"/>
        </w:rPr>
        <w:t>Aangezien pirtobrutinib de plasmaconcentraties van CYP2C8-substraten kan verhogen,</w:t>
      </w:r>
      <w:r w:rsidRPr="00D21D8C">
        <w:rPr>
          <w:rFonts w:asciiTheme="majorBidi" w:hAnsiTheme="majorBidi" w:cstheme="majorBidi"/>
          <w:color w:val="000000"/>
          <w:szCs w:val="22"/>
          <w:u w:color="FFFFFF"/>
          <w:lang w:eastAsia="en-GB"/>
        </w:rPr>
        <w:t xml:space="preserve"> is voorzichtigheid geboden bij gelijktijdige toediening met CYP2C8-substraten (bijv. repaglinide, dasabuvir, selexipag, rosiglitazon, pioglitazon en montelukast). </w:t>
      </w:r>
    </w:p>
    <w:p w14:paraId="15F29F71" w14:textId="77777777" w:rsidR="001A274F" w:rsidRPr="00D21D8C" w:rsidRDefault="001A274F">
      <w:pPr>
        <w:keepNext/>
        <w:rPr>
          <w:rFonts w:asciiTheme="majorBidi" w:hAnsiTheme="majorBidi" w:cstheme="majorBidi"/>
          <w:szCs w:val="22"/>
        </w:rPr>
      </w:pPr>
    </w:p>
    <w:p w14:paraId="17DB8201" w14:textId="77777777" w:rsidR="001A274F" w:rsidRPr="00D21D8C" w:rsidRDefault="00DA418A">
      <w:pPr>
        <w:keepNext/>
        <w:rPr>
          <w:rFonts w:asciiTheme="majorBidi" w:hAnsiTheme="majorBidi" w:cstheme="majorBidi"/>
          <w:i/>
          <w:iCs/>
          <w:szCs w:val="22"/>
        </w:rPr>
      </w:pPr>
      <w:r w:rsidRPr="00D21D8C">
        <w:rPr>
          <w:rFonts w:asciiTheme="majorBidi" w:hAnsiTheme="majorBidi" w:cstheme="majorBidi"/>
          <w:i/>
          <w:iCs/>
          <w:color w:val="000000"/>
          <w:szCs w:val="22"/>
          <w:u w:color="FFFFFF"/>
        </w:rPr>
        <w:t>BCRP-substraten</w:t>
      </w:r>
    </w:p>
    <w:p w14:paraId="5B170C92" w14:textId="092C402C" w:rsidR="001A274F" w:rsidRPr="00D21D8C" w:rsidRDefault="00DA418A">
      <w:pPr>
        <w:keepNext/>
        <w:rPr>
          <w:rFonts w:asciiTheme="majorBidi" w:hAnsiTheme="majorBidi" w:cstheme="majorBidi"/>
          <w:szCs w:val="22"/>
        </w:rPr>
      </w:pPr>
      <w:r w:rsidRPr="00D21D8C">
        <w:rPr>
          <w:rFonts w:asciiTheme="majorBidi" w:hAnsiTheme="majorBidi" w:cstheme="majorBidi"/>
          <w:color w:val="000000"/>
          <w:szCs w:val="22"/>
          <w:u w:color="FFFFFF"/>
        </w:rPr>
        <w:t>Pirtobrutinib is een matige remmer van BCRP. Pirtobrutinib verhoogde de AUC en C</w:t>
      </w:r>
      <w:r w:rsidRPr="00D21D8C">
        <w:rPr>
          <w:rFonts w:asciiTheme="majorBidi" w:hAnsiTheme="majorBidi" w:cstheme="majorBidi"/>
          <w:color w:val="000000"/>
          <w:szCs w:val="22"/>
          <w:u w:color="FFFFFF"/>
          <w:vertAlign w:val="subscript"/>
        </w:rPr>
        <w:t>max</w:t>
      </w:r>
      <w:r w:rsidRPr="00D21D8C">
        <w:rPr>
          <w:rFonts w:asciiTheme="majorBidi" w:hAnsiTheme="majorBidi" w:cstheme="majorBidi"/>
          <w:color w:val="000000"/>
          <w:szCs w:val="22"/>
          <w:u w:color="FFFFFF"/>
        </w:rPr>
        <w:t xml:space="preserve"> van rosuvastatine (een BCRP-substraat) met respectievelijk 140% en 146%. Aangezien pirtobrutinib de plasmaconcentraties van BCRP</w:t>
      </w:r>
      <w:r w:rsidRPr="00D21D8C">
        <w:rPr>
          <w:rFonts w:asciiTheme="majorBidi" w:hAnsiTheme="majorBidi" w:cstheme="majorBidi"/>
          <w:color w:val="000000"/>
          <w:szCs w:val="22"/>
          <w:u w:color="FFFFFF"/>
        </w:rPr>
        <w:noBreakHyphen/>
        <w:t xml:space="preserve">substraten kan verhogen, is voorzichtigheid geboden bij gelijktijdige toediening </w:t>
      </w:r>
      <w:r w:rsidR="00BC6696" w:rsidRPr="00D21D8C">
        <w:rPr>
          <w:rFonts w:asciiTheme="majorBidi" w:hAnsiTheme="majorBidi" w:cstheme="majorBidi"/>
          <w:color w:val="000000"/>
          <w:szCs w:val="22"/>
          <w:u w:color="FFFFFF"/>
        </w:rPr>
        <w:t xml:space="preserve">met </w:t>
      </w:r>
      <w:r w:rsidRPr="00D21D8C">
        <w:rPr>
          <w:rFonts w:asciiTheme="majorBidi" w:hAnsiTheme="majorBidi" w:cstheme="majorBidi"/>
          <w:color w:val="000000"/>
          <w:szCs w:val="22"/>
          <w:u w:color="FFFFFF"/>
        </w:rPr>
        <w:t>BCRP</w:t>
      </w:r>
      <w:r w:rsidRPr="00D21D8C">
        <w:rPr>
          <w:rFonts w:asciiTheme="majorBidi" w:hAnsiTheme="majorBidi" w:cstheme="majorBidi"/>
          <w:color w:val="000000"/>
          <w:szCs w:val="22"/>
          <w:u w:color="FFFFFF"/>
        </w:rPr>
        <w:noBreakHyphen/>
        <w:t>substraten (bijv. rosuvastatine).</w:t>
      </w:r>
      <w:r w:rsidR="000C47E9" w:rsidRPr="00D21D8C">
        <w:t xml:space="preserve"> </w:t>
      </w:r>
      <w:r w:rsidR="00FF6146" w:rsidRPr="00D21D8C">
        <w:t>Indien</w:t>
      </w:r>
      <w:r w:rsidR="000C47E9" w:rsidRPr="00D21D8C">
        <w:rPr>
          <w:rFonts w:asciiTheme="majorBidi" w:hAnsiTheme="majorBidi" w:cstheme="majorBidi"/>
          <w:color w:val="000000"/>
          <w:szCs w:val="22"/>
          <w:u w:color="FFFFFF"/>
        </w:rPr>
        <w:t xml:space="preserve"> gelijktijdige toediening met BCRP-substraten met een smalle therapeutische index (bijv. hoge dosis methotrexaat, mitoxantron) niet kan worden vermeden, dient nauwkeurige klinische monitoring te worden overwogen.</w:t>
      </w:r>
    </w:p>
    <w:p w14:paraId="1E4A1D53" w14:textId="77777777" w:rsidR="001A274F" w:rsidRPr="00D21D8C" w:rsidRDefault="001A274F">
      <w:pPr>
        <w:tabs>
          <w:tab w:val="clear" w:pos="567"/>
        </w:tabs>
        <w:spacing w:line="240" w:lineRule="auto"/>
        <w:rPr>
          <w:rFonts w:asciiTheme="majorBidi" w:hAnsiTheme="majorBidi" w:cstheme="majorBidi"/>
          <w:szCs w:val="22"/>
        </w:rPr>
      </w:pPr>
    </w:p>
    <w:p w14:paraId="1C53BC4A" w14:textId="77777777" w:rsidR="001A274F" w:rsidRPr="00D21D8C" w:rsidRDefault="00DA418A">
      <w:pPr>
        <w:keepNext/>
        <w:tabs>
          <w:tab w:val="clear" w:pos="567"/>
        </w:tabs>
        <w:spacing w:line="240" w:lineRule="auto"/>
        <w:rPr>
          <w:rFonts w:asciiTheme="majorBidi" w:hAnsiTheme="majorBidi" w:cstheme="majorBidi"/>
          <w:i/>
          <w:iCs/>
          <w:szCs w:val="22"/>
        </w:rPr>
      </w:pPr>
      <w:r w:rsidRPr="00D21D8C">
        <w:rPr>
          <w:rFonts w:asciiTheme="majorBidi" w:hAnsiTheme="majorBidi" w:cstheme="majorBidi"/>
          <w:i/>
          <w:iCs/>
          <w:color w:val="000000"/>
          <w:szCs w:val="22"/>
          <w:u w:color="FFFFFF"/>
        </w:rPr>
        <w:t>P-gp-substraten</w:t>
      </w:r>
    </w:p>
    <w:p w14:paraId="0FB91229" w14:textId="3D1E23C4" w:rsidR="000C47E9" w:rsidRPr="00D21D8C" w:rsidRDefault="00DA418A" w:rsidP="000C47E9">
      <w:pPr>
        <w:keepNext/>
        <w:rPr>
          <w:rFonts w:asciiTheme="majorBidi" w:hAnsiTheme="majorBidi" w:cstheme="majorBidi"/>
          <w:szCs w:val="22"/>
        </w:rPr>
      </w:pPr>
      <w:r w:rsidRPr="00D21D8C">
        <w:rPr>
          <w:rFonts w:asciiTheme="majorBidi" w:hAnsiTheme="majorBidi" w:cstheme="majorBidi"/>
          <w:color w:val="000000"/>
          <w:szCs w:val="22"/>
          <w:u w:color="FFFFFF"/>
        </w:rPr>
        <w:t xml:space="preserve">Pirtobrutinib is een </w:t>
      </w:r>
      <w:r w:rsidR="000C47E9" w:rsidRPr="00D21D8C">
        <w:rPr>
          <w:rFonts w:asciiTheme="majorBidi" w:hAnsiTheme="majorBidi" w:cstheme="majorBidi"/>
          <w:color w:val="000000"/>
          <w:szCs w:val="22"/>
          <w:u w:color="FFFFFF"/>
        </w:rPr>
        <w:t>zwakke</w:t>
      </w:r>
      <w:r w:rsidR="00B91B19" w:rsidRPr="00D21D8C">
        <w:rPr>
          <w:rFonts w:asciiTheme="majorBidi" w:hAnsiTheme="majorBidi" w:cstheme="majorBidi"/>
          <w:color w:val="000000"/>
          <w:szCs w:val="22"/>
          <w:u w:color="FFFFFF"/>
        </w:rPr>
        <w:t xml:space="preserve"> </w:t>
      </w:r>
      <w:r w:rsidRPr="00D21D8C">
        <w:rPr>
          <w:rFonts w:asciiTheme="majorBidi" w:hAnsiTheme="majorBidi" w:cstheme="majorBidi"/>
          <w:color w:val="000000"/>
          <w:szCs w:val="22"/>
          <w:u w:color="FFFFFF"/>
        </w:rPr>
        <w:t>remmer van P-gp.</w:t>
      </w:r>
      <w:r w:rsidRPr="00D21D8C">
        <w:rPr>
          <w:rFonts w:asciiTheme="majorBidi" w:hAnsiTheme="majorBidi" w:cstheme="majorBidi"/>
          <w:color w:val="000000"/>
          <w:szCs w:val="22"/>
          <w:u w:val="single" w:color="FFFFFF"/>
        </w:rPr>
        <w:t xml:space="preserve"> </w:t>
      </w:r>
      <w:r w:rsidRPr="00D21D8C">
        <w:rPr>
          <w:rFonts w:asciiTheme="majorBidi" w:hAnsiTheme="majorBidi" w:cstheme="majorBidi"/>
          <w:color w:val="000000"/>
          <w:szCs w:val="22"/>
          <w:u w:color="FFFFFF"/>
        </w:rPr>
        <w:t>Pirtobrutinib verhoogde de AUC en C</w:t>
      </w:r>
      <w:r w:rsidRPr="00D21D8C">
        <w:rPr>
          <w:rFonts w:asciiTheme="majorBidi" w:hAnsiTheme="majorBidi" w:cstheme="majorBidi"/>
          <w:color w:val="000000"/>
          <w:szCs w:val="22"/>
          <w:u w:color="FFFFFF"/>
          <w:vertAlign w:val="subscript"/>
        </w:rPr>
        <w:t>max</w:t>
      </w:r>
      <w:r w:rsidRPr="00D21D8C">
        <w:rPr>
          <w:rFonts w:asciiTheme="majorBidi" w:hAnsiTheme="majorBidi" w:cstheme="majorBidi"/>
          <w:color w:val="000000"/>
          <w:szCs w:val="22"/>
          <w:u w:color="FFFFFF"/>
        </w:rPr>
        <w:t xml:space="preserve"> van digoxine (een P-gp-substraat) met respectievelijk 35% en 55%. </w:t>
      </w:r>
      <w:r w:rsidR="000C47E9" w:rsidRPr="00D21D8C">
        <w:rPr>
          <w:rFonts w:asciiTheme="majorBidi" w:hAnsiTheme="majorBidi" w:cstheme="majorBidi"/>
          <w:color w:val="000000"/>
          <w:szCs w:val="22"/>
          <w:u w:color="FFFFFF"/>
        </w:rPr>
        <w:t>Daar</w:t>
      </w:r>
      <w:r w:rsidR="009D6B89" w:rsidRPr="00D21D8C">
        <w:rPr>
          <w:rFonts w:asciiTheme="majorBidi" w:hAnsiTheme="majorBidi" w:cstheme="majorBidi"/>
          <w:color w:val="000000"/>
          <w:szCs w:val="22"/>
          <w:u w:color="FFFFFF"/>
        </w:rPr>
        <w:t>om</w:t>
      </w:r>
      <w:r w:rsidRPr="00D21D8C">
        <w:rPr>
          <w:rFonts w:asciiTheme="majorBidi" w:hAnsiTheme="majorBidi" w:cstheme="majorBidi"/>
          <w:color w:val="000000"/>
          <w:szCs w:val="22"/>
          <w:u w:color="FFFFFF"/>
        </w:rPr>
        <w:t xml:space="preserve"> </w:t>
      </w:r>
      <w:r w:rsidR="000C47E9" w:rsidRPr="00D21D8C">
        <w:rPr>
          <w:rFonts w:asciiTheme="majorBidi" w:hAnsiTheme="majorBidi" w:cstheme="majorBidi"/>
          <w:color w:val="000000"/>
          <w:szCs w:val="22"/>
          <w:u w:color="FFFFFF"/>
        </w:rPr>
        <w:t xml:space="preserve">kan </w:t>
      </w:r>
      <w:r w:rsidRPr="00D21D8C">
        <w:rPr>
          <w:rFonts w:asciiTheme="majorBidi" w:hAnsiTheme="majorBidi" w:cstheme="majorBidi"/>
          <w:color w:val="262626"/>
          <w:szCs w:val="22"/>
          <w:u w:color="FFFFFF"/>
        </w:rPr>
        <w:t>pirtobrutinib de plasmaconcentraties van P-gp-substraten verhogen</w:t>
      </w:r>
      <w:r w:rsidR="000C47E9" w:rsidRPr="00D21D8C">
        <w:rPr>
          <w:rFonts w:asciiTheme="majorBidi" w:hAnsiTheme="majorBidi" w:cstheme="majorBidi"/>
          <w:color w:val="262626"/>
          <w:szCs w:val="22"/>
          <w:u w:color="FFFFFF"/>
        </w:rPr>
        <w:t xml:space="preserve">. </w:t>
      </w:r>
      <w:r w:rsidR="00FF6146" w:rsidRPr="00D21D8C">
        <w:rPr>
          <w:rFonts w:asciiTheme="majorBidi" w:hAnsiTheme="majorBidi" w:cstheme="majorBidi"/>
          <w:color w:val="262626"/>
          <w:szCs w:val="22"/>
          <w:u w:color="FFFFFF"/>
        </w:rPr>
        <w:t>Indien</w:t>
      </w:r>
      <w:r w:rsidR="000C47E9" w:rsidRPr="00D21D8C">
        <w:rPr>
          <w:rFonts w:asciiTheme="majorBidi" w:hAnsiTheme="majorBidi" w:cstheme="majorBidi"/>
          <w:color w:val="000000"/>
          <w:szCs w:val="22"/>
          <w:u w:color="FFFFFF"/>
        </w:rPr>
        <w:t xml:space="preserve"> gelijktijdige toediening met P-gp-substraten met een smalle therapeutische index (bijv. dabigatranetexilaat en digoxine) niet kan worden vermeden, dient nauwkeurige klinische monitoring te worden overwogen.</w:t>
      </w:r>
    </w:p>
    <w:p w14:paraId="5295676F" w14:textId="77777777" w:rsidR="001A274F" w:rsidRPr="00D21D8C" w:rsidRDefault="001A274F">
      <w:pPr>
        <w:keepNext/>
        <w:tabs>
          <w:tab w:val="clear" w:pos="567"/>
        </w:tabs>
        <w:spacing w:line="240" w:lineRule="auto"/>
        <w:rPr>
          <w:rFonts w:asciiTheme="majorBidi" w:eastAsia="SimSun" w:hAnsiTheme="majorBidi" w:cstheme="majorBidi"/>
          <w:strike/>
          <w:szCs w:val="22"/>
          <w:lang w:eastAsia="en-GB"/>
        </w:rPr>
      </w:pPr>
    </w:p>
    <w:p w14:paraId="48ADDD1F" w14:textId="77777777" w:rsidR="001A274F" w:rsidRPr="00D21D8C" w:rsidRDefault="00DA418A">
      <w:pPr>
        <w:keepNext/>
        <w:tabs>
          <w:tab w:val="clear" w:pos="567"/>
        </w:tabs>
        <w:spacing w:line="240" w:lineRule="auto"/>
        <w:rPr>
          <w:rFonts w:asciiTheme="majorBidi" w:eastAsia="SimSun" w:hAnsiTheme="majorBidi" w:cstheme="majorBidi"/>
          <w:i/>
          <w:szCs w:val="22"/>
          <w:lang w:eastAsia="en-GB"/>
        </w:rPr>
      </w:pPr>
      <w:r w:rsidRPr="00D21D8C">
        <w:rPr>
          <w:rFonts w:asciiTheme="majorBidi" w:hAnsiTheme="majorBidi" w:cstheme="majorBidi"/>
          <w:i/>
          <w:iCs/>
          <w:color w:val="000000"/>
          <w:szCs w:val="22"/>
          <w:u w:color="FFFFFF"/>
          <w:lang w:eastAsia="en-GB"/>
        </w:rPr>
        <w:t>CYP2C19-substraten</w:t>
      </w:r>
    </w:p>
    <w:p w14:paraId="5108D942" w14:textId="1B1B7B8D" w:rsidR="001A274F" w:rsidRPr="00D21D8C" w:rsidRDefault="00DA418A">
      <w:pPr>
        <w:keepNext/>
        <w:tabs>
          <w:tab w:val="clear" w:pos="567"/>
        </w:tabs>
        <w:spacing w:line="240" w:lineRule="auto"/>
        <w:rPr>
          <w:rFonts w:asciiTheme="majorBidi" w:hAnsiTheme="majorBidi" w:cstheme="majorBidi"/>
          <w:szCs w:val="22"/>
        </w:rPr>
      </w:pPr>
      <w:r w:rsidRPr="00D21D8C">
        <w:rPr>
          <w:rFonts w:asciiTheme="majorBidi" w:hAnsiTheme="majorBidi" w:cstheme="majorBidi"/>
          <w:color w:val="000000"/>
          <w:szCs w:val="22"/>
          <w:u w:color="FFFFFF"/>
          <w:lang w:eastAsia="en-GB"/>
        </w:rPr>
        <w:t xml:space="preserve">Pirtobrutinib is een </w:t>
      </w:r>
      <w:r w:rsidR="00FF6146" w:rsidRPr="00D21D8C">
        <w:rPr>
          <w:rFonts w:asciiTheme="majorBidi" w:hAnsiTheme="majorBidi" w:cstheme="majorBidi"/>
          <w:color w:val="000000"/>
          <w:szCs w:val="22"/>
          <w:u w:color="FFFFFF"/>
          <w:lang w:eastAsia="en-GB"/>
        </w:rPr>
        <w:t>zwakke</w:t>
      </w:r>
      <w:r w:rsidR="00B91B19" w:rsidRPr="00D21D8C">
        <w:rPr>
          <w:rFonts w:asciiTheme="majorBidi" w:hAnsiTheme="majorBidi" w:cstheme="majorBidi"/>
          <w:color w:val="000000"/>
          <w:szCs w:val="22"/>
          <w:u w:color="FFFFFF"/>
          <w:lang w:eastAsia="en-GB"/>
        </w:rPr>
        <w:t xml:space="preserve"> </w:t>
      </w:r>
      <w:r w:rsidRPr="00D21D8C">
        <w:rPr>
          <w:rFonts w:asciiTheme="majorBidi" w:hAnsiTheme="majorBidi" w:cstheme="majorBidi"/>
          <w:color w:val="000000"/>
          <w:szCs w:val="22"/>
          <w:u w:color="FFFFFF"/>
          <w:lang w:eastAsia="en-GB"/>
        </w:rPr>
        <w:t>remmer van CYP2C19. Pirtobrutinib verhoogde de AUC en C</w:t>
      </w:r>
      <w:r w:rsidRPr="00D21D8C">
        <w:rPr>
          <w:rFonts w:asciiTheme="majorBidi" w:hAnsiTheme="majorBidi" w:cstheme="majorBidi"/>
          <w:color w:val="000000"/>
          <w:szCs w:val="22"/>
          <w:u w:color="FFFFFF"/>
          <w:vertAlign w:val="subscript"/>
          <w:lang w:eastAsia="en-GB"/>
        </w:rPr>
        <w:t>max</w:t>
      </w:r>
      <w:r w:rsidRPr="00D21D8C">
        <w:rPr>
          <w:rFonts w:asciiTheme="majorBidi" w:hAnsiTheme="majorBidi" w:cstheme="majorBidi"/>
          <w:color w:val="000000"/>
          <w:szCs w:val="22"/>
          <w:u w:color="FFFFFF"/>
          <w:lang w:eastAsia="en-GB"/>
        </w:rPr>
        <w:t xml:space="preserve"> van omeprazol (een CY</w:t>
      </w:r>
      <w:r w:rsidR="0057556B" w:rsidRPr="00D21D8C">
        <w:rPr>
          <w:rFonts w:asciiTheme="majorBidi" w:hAnsiTheme="majorBidi" w:cstheme="majorBidi"/>
          <w:color w:val="000000"/>
          <w:szCs w:val="22"/>
          <w:u w:color="FFFFFF"/>
          <w:lang w:eastAsia="en-GB"/>
        </w:rPr>
        <w:t>P</w:t>
      </w:r>
      <w:r w:rsidRPr="00D21D8C">
        <w:rPr>
          <w:rFonts w:asciiTheme="majorBidi" w:hAnsiTheme="majorBidi" w:cstheme="majorBidi"/>
          <w:color w:val="000000"/>
          <w:szCs w:val="22"/>
          <w:u w:color="FFFFFF"/>
          <w:lang w:eastAsia="en-GB"/>
        </w:rPr>
        <w:t xml:space="preserve">2C19-substraat) met respectievelijk 56% en 49%. </w:t>
      </w:r>
      <w:r w:rsidR="00FF6146" w:rsidRPr="00D21D8C">
        <w:rPr>
          <w:rFonts w:asciiTheme="majorBidi" w:hAnsiTheme="majorBidi" w:cstheme="majorBidi"/>
          <w:color w:val="000000"/>
          <w:szCs w:val="22"/>
          <w:u w:color="FFFFFF"/>
          <w:lang w:eastAsia="en-GB"/>
        </w:rPr>
        <w:t>Daar</w:t>
      </w:r>
      <w:r w:rsidR="009D6B89" w:rsidRPr="00D21D8C">
        <w:rPr>
          <w:rFonts w:asciiTheme="majorBidi" w:hAnsiTheme="majorBidi" w:cstheme="majorBidi"/>
          <w:color w:val="000000"/>
          <w:szCs w:val="22"/>
          <w:u w:color="FFFFFF"/>
          <w:lang w:eastAsia="en-GB"/>
        </w:rPr>
        <w:t>om</w:t>
      </w:r>
      <w:r w:rsidR="00FF6146" w:rsidRPr="00D21D8C">
        <w:rPr>
          <w:rFonts w:asciiTheme="majorBidi" w:hAnsiTheme="majorBidi" w:cstheme="majorBidi"/>
          <w:color w:val="000000"/>
          <w:szCs w:val="22"/>
          <w:u w:color="FFFFFF"/>
          <w:lang w:eastAsia="en-GB"/>
        </w:rPr>
        <w:t xml:space="preserve"> kan</w:t>
      </w:r>
      <w:r w:rsidRPr="00D21D8C">
        <w:rPr>
          <w:rFonts w:asciiTheme="majorBidi" w:hAnsiTheme="majorBidi" w:cstheme="majorBidi"/>
          <w:color w:val="000000"/>
          <w:szCs w:val="22"/>
          <w:u w:color="FFFFFF"/>
          <w:lang w:eastAsia="en-GB"/>
        </w:rPr>
        <w:t xml:space="preserve"> pirtobrutinib de plasmaconcentraties van CYP2C19-substraten verhogen</w:t>
      </w:r>
      <w:r w:rsidR="00FF6146" w:rsidRPr="00D21D8C">
        <w:rPr>
          <w:rFonts w:asciiTheme="majorBidi" w:hAnsiTheme="majorBidi" w:cstheme="majorBidi"/>
          <w:color w:val="000000"/>
          <w:szCs w:val="22"/>
          <w:u w:color="FFFFFF"/>
          <w:lang w:eastAsia="en-GB"/>
        </w:rPr>
        <w:t>.</w:t>
      </w:r>
      <w:r w:rsidRPr="00D21D8C">
        <w:rPr>
          <w:rFonts w:asciiTheme="majorBidi" w:hAnsiTheme="majorBidi" w:cstheme="majorBidi"/>
          <w:color w:val="000000"/>
          <w:szCs w:val="22"/>
          <w:u w:color="FFFFFF"/>
          <w:lang w:eastAsia="en-GB"/>
        </w:rPr>
        <w:t xml:space="preserve"> </w:t>
      </w:r>
      <w:r w:rsidR="00FF6146" w:rsidRPr="00D21D8C">
        <w:rPr>
          <w:rFonts w:asciiTheme="majorBidi" w:hAnsiTheme="majorBidi" w:cstheme="majorBidi"/>
          <w:color w:val="000000"/>
          <w:szCs w:val="22"/>
          <w:u w:color="FFFFFF"/>
          <w:lang w:eastAsia="en-GB"/>
        </w:rPr>
        <w:t xml:space="preserve">Indien gelijktijdige toediening met CYP2C19-substraten met een smalle therapeutische index (bijv. fenobarbital en mefenytoïne) niet kan worden vermeden, dient nauwkeurige klinische controle te worden overwogen. </w:t>
      </w:r>
    </w:p>
    <w:p w14:paraId="5B83A180" w14:textId="3B213858" w:rsidR="001A274F" w:rsidRPr="00D21D8C" w:rsidRDefault="001A274F">
      <w:pPr>
        <w:keepNext/>
        <w:tabs>
          <w:tab w:val="clear" w:pos="567"/>
        </w:tabs>
        <w:spacing w:line="240" w:lineRule="auto"/>
        <w:rPr>
          <w:rFonts w:asciiTheme="majorBidi" w:eastAsia="SimSun" w:hAnsiTheme="majorBidi" w:cstheme="majorBidi"/>
          <w:szCs w:val="22"/>
          <w:lang w:eastAsia="en-GB"/>
        </w:rPr>
      </w:pPr>
    </w:p>
    <w:p w14:paraId="057819CE" w14:textId="77777777" w:rsidR="009D6B89" w:rsidRPr="00D21D8C" w:rsidRDefault="009D6B89" w:rsidP="009D6B89">
      <w:pPr>
        <w:keepNext/>
        <w:tabs>
          <w:tab w:val="clear" w:pos="567"/>
        </w:tabs>
        <w:spacing w:line="240" w:lineRule="auto"/>
        <w:rPr>
          <w:rFonts w:asciiTheme="majorBidi" w:eastAsia="SimSun" w:hAnsiTheme="majorBidi" w:cstheme="majorBidi"/>
          <w:i/>
          <w:iCs/>
          <w:szCs w:val="22"/>
          <w:lang w:eastAsia="en-GB"/>
        </w:rPr>
      </w:pPr>
      <w:r w:rsidRPr="00D21D8C">
        <w:rPr>
          <w:rFonts w:asciiTheme="majorBidi" w:eastAsia="SimSun" w:hAnsiTheme="majorBidi" w:cstheme="majorBidi"/>
          <w:i/>
          <w:iCs/>
          <w:szCs w:val="22"/>
          <w:lang w:eastAsia="en-GB"/>
        </w:rPr>
        <w:t>CYP3A-substraten</w:t>
      </w:r>
    </w:p>
    <w:p w14:paraId="047B5812" w14:textId="51FA0016" w:rsidR="009D6B89" w:rsidRPr="00D21D8C" w:rsidRDefault="009D6B89" w:rsidP="009D6B89">
      <w:pPr>
        <w:keepNext/>
        <w:tabs>
          <w:tab w:val="clear" w:pos="567"/>
        </w:tabs>
        <w:spacing w:line="240" w:lineRule="auto"/>
        <w:rPr>
          <w:rFonts w:asciiTheme="majorBidi" w:eastAsia="SimSun" w:hAnsiTheme="majorBidi" w:cstheme="majorBidi"/>
          <w:szCs w:val="22"/>
          <w:lang w:eastAsia="en-GB"/>
        </w:rPr>
      </w:pPr>
      <w:r w:rsidRPr="00D21D8C">
        <w:rPr>
          <w:rFonts w:asciiTheme="majorBidi" w:eastAsia="SimSun" w:hAnsiTheme="majorBidi" w:cstheme="majorBidi"/>
          <w:szCs w:val="22"/>
          <w:lang w:eastAsia="en-GB"/>
        </w:rPr>
        <w:t>Pirtobrutinib is een zwakke remmer van CYP3A. Pirtobrutinib verhoogde de AUC en C</w:t>
      </w:r>
      <w:r w:rsidRPr="00D21D8C">
        <w:rPr>
          <w:rFonts w:asciiTheme="majorBidi" w:eastAsia="SimSun" w:hAnsiTheme="majorBidi" w:cstheme="majorBidi"/>
          <w:szCs w:val="22"/>
          <w:vertAlign w:val="subscript"/>
          <w:lang w:eastAsia="en-GB"/>
        </w:rPr>
        <w:t>max</w:t>
      </w:r>
      <w:r w:rsidRPr="00D21D8C">
        <w:rPr>
          <w:rFonts w:asciiTheme="majorBidi" w:eastAsia="SimSun" w:hAnsiTheme="majorBidi" w:cstheme="majorBidi"/>
          <w:szCs w:val="22"/>
          <w:lang w:eastAsia="en-GB"/>
        </w:rPr>
        <w:t xml:space="preserve"> van oraal toegediend</w:t>
      </w:r>
      <w:r w:rsidR="009014D8" w:rsidRPr="00D21D8C">
        <w:rPr>
          <w:rFonts w:asciiTheme="majorBidi" w:eastAsia="SimSun" w:hAnsiTheme="majorBidi" w:cstheme="majorBidi"/>
          <w:szCs w:val="22"/>
          <w:lang w:eastAsia="en-GB"/>
        </w:rPr>
        <w:t>e</w:t>
      </w:r>
      <w:r w:rsidRPr="00D21D8C">
        <w:rPr>
          <w:rFonts w:asciiTheme="majorBidi" w:eastAsia="SimSun" w:hAnsiTheme="majorBidi" w:cstheme="majorBidi"/>
          <w:szCs w:val="22"/>
          <w:lang w:eastAsia="en-GB"/>
        </w:rPr>
        <w:t xml:space="preserve"> midazolam (een gevoelig CYP3A-substraat) met respectievelijk 70% en 58%. Pirtobrutinib had geen klinisch relevant effect op de blootstelling aan intraveneus toegediend midazolam. Daarom kan pirtobrutinib de plasmaconcentraties van CYP3A-substraten verhogen. Indien gelijktijdige toediening met CYP3A-substraten met een smalle therapeutische index (bijv. alfentanil, midazolam, tacrolimus) niet kan worden vermeden, dient nauwkeurige klinische monitoring te worden overwogen.</w:t>
      </w:r>
    </w:p>
    <w:p w14:paraId="3F22C96D" w14:textId="77777777" w:rsidR="001A274F" w:rsidRPr="00D21D8C" w:rsidRDefault="001A274F">
      <w:pPr>
        <w:spacing w:line="240" w:lineRule="auto"/>
        <w:rPr>
          <w:rFonts w:asciiTheme="majorBidi" w:hAnsiTheme="majorBidi" w:cstheme="majorBidi"/>
          <w:szCs w:val="22"/>
          <w:u w:val="single"/>
        </w:rPr>
      </w:pPr>
    </w:p>
    <w:p w14:paraId="7F559627" w14:textId="5CF8EC35" w:rsidR="001A274F" w:rsidRPr="00D21D8C" w:rsidRDefault="00DA418A">
      <w:pPr>
        <w:keepNext/>
        <w:spacing w:line="240" w:lineRule="auto"/>
        <w:ind w:left="567" w:hanging="567"/>
        <w:outlineLvl w:val="0"/>
        <w:rPr>
          <w:rFonts w:asciiTheme="majorBidi" w:hAnsiTheme="majorBidi" w:cstheme="majorBidi"/>
          <w:szCs w:val="22"/>
        </w:rPr>
      </w:pPr>
      <w:r w:rsidRPr="00D21D8C">
        <w:rPr>
          <w:rFonts w:asciiTheme="majorBidi" w:hAnsiTheme="majorBidi" w:cstheme="majorBidi"/>
          <w:b/>
          <w:bCs/>
          <w:color w:val="000000"/>
          <w:szCs w:val="22"/>
          <w:u w:color="FFFFFF"/>
        </w:rPr>
        <w:t>4.6</w:t>
      </w:r>
      <w:r w:rsidRPr="00D21D8C">
        <w:rPr>
          <w:rFonts w:asciiTheme="majorBidi" w:hAnsiTheme="majorBidi" w:cstheme="majorBidi"/>
          <w:b/>
          <w:bCs/>
          <w:color w:val="000000"/>
          <w:szCs w:val="22"/>
          <w:u w:color="FFFFFF"/>
        </w:rPr>
        <w:tab/>
        <w:t>Vruchtbaarheid, zwangerschap en borstvoeding</w:t>
      </w:r>
      <w:r w:rsidR="0011019E" w:rsidRPr="00D21D8C">
        <w:rPr>
          <w:rFonts w:asciiTheme="majorBidi" w:hAnsiTheme="majorBidi" w:cstheme="majorBidi"/>
          <w:b/>
          <w:bCs/>
          <w:color w:val="000000"/>
          <w:szCs w:val="22"/>
          <w:u w:color="FFFFFF"/>
        </w:rPr>
        <w:fldChar w:fldCharType="begin"/>
      </w:r>
      <w:r w:rsidR="0011019E" w:rsidRPr="00D21D8C">
        <w:rPr>
          <w:rFonts w:asciiTheme="majorBidi" w:hAnsiTheme="majorBidi" w:cstheme="majorBidi"/>
          <w:b/>
          <w:bCs/>
          <w:color w:val="000000"/>
          <w:szCs w:val="22"/>
          <w:u w:color="FFFFFF"/>
        </w:rPr>
        <w:instrText xml:space="preserve"> DOCVARIABLE vault_nd_97f32387-d927-4f9c-b45e-e1dabbf0080f \* MERGEFORMAT </w:instrText>
      </w:r>
      <w:r w:rsidR="0011019E" w:rsidRPr="00D21D8C">
        <w:rPr>
          <w:rFonts w:asciiTheme="majorBidi" w:hAnsiTheme="majorBidi" w:cstheme="majorBidi"/>
          <w:b/>
          <w:bCs/>
          <w:color w:val="000000"/>
          <w:szCs w:val="22"/>
          <w:u w:color="FFFFFF"/>
        </w:rPr>
        <w:fldChar w:fldCharType="separate"/>
      </w:r>
      <w:r w:rsidR="0011019E" w:rsidRPr="00D21D8C">
        <w:rPr>
          <w:rFonts w:asciiTheme="majorBidi" w:hAnsiTheme="majorBidi" w:cstheme="majorBidi"/>
          <w:b/>
          <w:bCs/>
          <w:color w:val="000000"/>
          <w:szCs w:val="22"/>
          <w:u w:color="FFFFFF"/>
        </w:rPr>
        <w:t xml:space="preserve"> </w:t>
      </w:r>
      <w:r w:rsidR="0011019E" w:rsidRPr="00D21D8C">
        <w:rPr>
          <w:rFonts w:asciiTheme="majorBidi" w:hAnsiTheme="majorBidi" w:cstheme="majorBidi"/>
          <w:b/>
          <w:bCs/>
          <w:color w:val="000000"/>
          <w:szCs w:val="22"/>
          <w:u w:color="FFFFFF"/>
        </w:rPr>
        <w:fldChar w:fldCharType="end"/>
      </w:r>
    </w:p>
    <w:p w14:paraId="116E4CEF" w14:textId="77777777" w:rsidR="001A274F" w:rsidRPr="00D21D8C" w:rsidRDefault="001A274F">
      <w:pPr>
        <w:keepNext/>
        <w:spacing w:line="240" w:lineRule="auto"/>
        <w:rPr>
          <w:rFonts w:asciiTheme="majorBidi" w:hAnsiTheme="majorBidi" w:cstheme="majorBidi"/>
          <w:szCs w:val="22"/>
        </w:rPr>
      </w:pPr>
    </w:p>
    <w:p w14:paraId="4F8A1C8E" w14:textId="220181CC" w:rsidR="001A274F" w:rsidRPr="00D21D8C" w:rsidRDefault="005C677C">
      <w:pPr>
        <w:keepNext/>
        <w:spacing w:line="240" w:lineRule="auto"/>
        <w:rPr>
          <w:rFonts w:asciiTheme="majorBidi" w:hAnsiTheme="majorBidi" w:cstheme="majorBidi"/>
          <w:szCs w:val="22"/>
        </w:rPr>
      </w:pPr>
      <w:r w:rsidRPr="00D21D8C">
        <w:rPr>
          <w:rFonts w:asciiTheme="majorBidi" w:hAnsiTheme="majorBidi" w:cstheme="majorBidi"/>
          <w:color w:val="000000"/>
          <w:szCs w:val="22"/>
          <w:u w:val="single"/>
        </w:rPr>
        <w:t>V</w:t>
      </w:r>
      <w:r w:rsidR="009D6B89" w:rsidRPr="00D21D8C">
        <w:rPr>
          <w:rFonts w:asciiTheme="majorBidi" w:hAnsiTheme="majorBidi" w:cstheme="majorBidi"/>
          <w:color w:val="000000"/>
          <w:szCs w:val="22"/>
          <w:u w:val="single"/>
        </w:rPr>
        <w:t>rouwen die zwanger kunnen worden</w:t>
      </w:r>
      <w:r w:rsidRPr="00D21D8C">
        <w:rPr>
          <w:rFonts w:asciiTheme="majorBidi" w:hAnsiTheme="majorBidi" w:cstheme="majorBidi"/>
          <w:color w:val="000000"/>
          <w:szCs w:val="22"/>
          <w:u w:val="single"/>
        </w:rPr>
        <w:t>/ Anticonceptie</w:t>
      </w:r>
      <w:r w:rsidR="009D6B89" w:rsidRPr="00D21D8C">
        <w:rPr>
          <w:rFonts w:asciiTheme="majorBidi" w:hAnsiTheme="majorBidi" w:cstheme="majorBidi"/>
          <w:color w:val="000000"/>
          <w:szCs w:val="22"/>
          <w:u w:val="single"/>
        </w:rPr>
        <w:t xml:space="preserve"> </w:t>
      </w:r>
      <w:r w:rsidRPr="00D21D8C">
        <w:rPr>
          <w:rFonts w:asciiTheme="majorBidi" w:hAnsiTheme="majorBidi" w:cstheme="majorBidi"/>
          <w:color w:val="000000"/>
          <w:szCs w:val="22"/>
          <w:u w:val="single"/>
        </w:rPr>
        <w:t>bij</w:t>
      </w:r>
      <w:r w:rsidR="009D6B89" w:rsidRPr="00D21D8C">
        <w:rPr>
          <w:rFonts w:asciiTheme="majorBidi" w:hAnsiTheme="majorBidi" w:cstheme="majorBidi"/>
          <w:color w:val="000000"/>
          <w:szCs w:val="22"/>
          <w:u w:val="single"/>
        </w:rPr>
        <w:t xml:space="preserve"> mannen</w:t>
      </w:r>
      <w:r w:rsidRPr="00D21D8C">
        <w:rPr>
          <w:rFonts w:asciiTheme="majorBidi" w:hAnsiTheme="majorBidi" w:cstheme="majorBidi"/>
          <w:color w:val="000000"/>
          <w:szCs w:val="22"/>
          <w:u w:val="single"/>
        </w:rPr>
        <w:t xml:space="preserve"> en vrouwen</w:t>
      </w:r>
    </w:p>
    <w:p w14:paraId="0076421D" w14:textId="77777777" w:rsidR="001A274F" w:rsidRPr="00D21D8C" w:rsidRDefault="001A274F">
      <w:pPr>
        <w:keepNext/>
        <w:spacing w:line="240" w:lineRule="auto"/>
        <w:rPr>
          <w:rFonts w:asciiTheme="majorBidi" w:hAnsiTheme="majorBidi" w:cstheme="majorBidi"/>
          <w:szCs w:val="22"/>
          <w:u w:val="single"/>
        </w:rPr>
      </w:pPr>
    </w:p>
    <w:p w14:paraId="53D313CC" w14:textId="7B6921DC" w:rsidR="001A274F" w:rsidRPr="00D21D8C" w:rsidRDefault="009D6B89">
      <w:pPr>
        <w:keepNext/>
        <w:spacing w:line="240" w:lineRule="auto"/>
        <w:rPr>
          <w:rFonts w:asciiTheme="majorBidi" w:hAnsiTheme="majorBidi" w:cstheme="majorBidi"/>
          <w:szCs w:val="22"/>
        </w:rPr>
      </w:pPr>
      <w:r w:rsidRPr="00D21D8C">
        <w:rPr>
          <w:rFonts w:asciiTheme="majorBidi" w:hAnsiTheme="majorBidi" w:cstheme="majorBidi"/>
          <w:color w:val="000000"/>
          <w:szCs w:val="22"/>
          <w:u w:color="FFFFFF"/>
        </w:rPr>
        <w:t xml:space="preserve">Op basis van bevindingen bij dieren en de genotoxiciteit van pirtobrutinib (zie rubriek 5.3) kan pirtobrutinib schade toebrengen aan de foetus wanneer het wordt toegediend aan een zwangere vrouw. </w:t>
      </w:r>
      <w:r w:rsidR="00DA418A" w:rsidRPr="00D21D8C">
        <w:rPr>
          <w:rFonts w:asciiTheme="majorBidi" w:hAnsiTheme="majorBidi" w:cstheme="majorBidi"/>
          <w:color w:val="000000"/>
          <w:szCs w:val="22"/>
          <w:u w:color="FFFFFF"/>
        </w:rPr>
        <w:t xml:space="preserve">Vrouwen die zwanger kunnen worden, </w:t>
      </w:r>
      <w:r w:rsidR="00AA5EB2" w:rsidRPr="00D21D8C">
        <w:rPr>
          <w:rFonts w:asciiTheme="majorBidi" w:hAnsiTheme="majorBidi" w:cstheme="majorBidi"/>
          <w:color w:val="000000"/>
          <w:szCs w:val="22"/>
          <w:u w:color="FFFFFF"/>
        </w:rPr>
        <w:t>moeten</w:t>
      </w:r>
      <w:r w:rsidR="00DA418A" w:rsidRPr="00D21D8C">
        <w:rPr>
          <w:rFonts w:asciiTheme="majorBidi" w:hAnsiTheme="majorBidi" w:cstheme="majorBidi"/>
          <w:color w:val="000000"/>
          <w:szCs w:val="22"/>
          <w:u w:color="FFFFFF"/>
        </w:rPr>
        <w:t xml:space="preserve"> effectieve anticonceptie</w:t>
      </w:r>
      <w:r w:rsidR="00B91B19" w:rsidRPr="00D21D8C">
        <w:rPr>
          <w:rFonts w:asciiTheme="majorBidi" w:hAnsiTheme="majorBidi" w:cstheme="majorBidi"/>
          <w:color w:val="000000"/>
          <w:szCs w:val="22"/>
          <w:u w:color="FFFFFF"/>
        </w:rPr>
        <w:t xml:space="preserve"> </w:t>
      </w:r>
      <w:r w:rsidR="00DA418A" w:rsidRPr="00D21D8C">
        <w:rPr>
          <w:rFonts w:asciiTheme="majorBidi" w:hAnsiTheme="majorBidi" w:cstheme="majorBidi"/>
          <w:color w:val="000000"/>
          <w:szCs w:val="22"/>
          <w:u w:color="FFFFFF"/>
        </w:rPr>
        <w:t xml:space="preserve">gebruiken tijdens de behandeling </w:t>
      </w:r>
      <w:r w:rsidR="00B91B19" w:rsidRPr="00D21D8C">
        <w:rPr>
          <w:rFonts w:asciiTheme="majorBidi" w:hAnsiTheme="majorBidi" w:cstheme="majorBidi"/>
          <w:color w:val="000000"/>
          <w:szCs w:val="22"/>
          <w:u w:color="FFFFFF"/>
        </w:rPr>
        <w:t xml:space="preserve">en </w:t>
      </w:r>
      <w:r w:rsidR="00DA418A" w:rsidRPr="00D21D8C">
        <w:rPr>
          <w:rFonts w:asciiTheme="majorBidi" w:hAnsiTheme="majorBidi" w:cstheme="majorBidi"/>
          <w:color w:val="000000"/>
          <w:szCs w:val="22"/>
          <w:u w:color="FFFFFF"/>
        </w:rPr>
        <w:t xml:space="preserve">gedurende 5 weken na de laatste dosis Jaypirca. </w:t>
      </w:r>
      <w:bookmarkStart w:id="2" w:name="_Hlk120798092"/>
      <w:bookmarkEnd w:id="2"/>
      <w:r w:rsidRPr="00D21D8C">
        <w:rPr>
          <w:rFonts w:asciiTheme="majorBidi" w:hAnsiTheme="majorBidi" w:cstheme="majorBidi"/>
          <w:color w:val="000000"/>
          <w:szCs w:val="22"/>
          <w:u w:color="FFFFFF"/>
        </w:rPr>
        <w:t xml:space="preserve">Mannen wordt </w:t>
      </w:r>
      <w:r w:rsidR="002F19AC" w:rsidRPr="00D21D8C">
        <w:rPr>
          <w:rFonts w:asciiTheme="majorBidi" w:hAnsiTheme="majorBidi" w:cstheme="majorBidi"/>
          <w:color w:val="000000"/>
          <w:szCs w:val="22"/>
          <w:u w:color="FFFFFF"/>
        </w:rPr>
        <w:t>geadviseerd</w:t>
      </w:r>
      <w:r w:rsidRPr="00D21D8C">
        <w:rPr>
          <w:rFonts w:asciiTheme="majorBidi" w:hAnsiTheme="majorBidi" w:cstheme="majorBidi"/>
          <w:color w:val="000000"/>
          <w:szCs w:val="22"/>
          <w:u w:color="FFFFFF"/>
        </w:rPr>
        <w:t xml:space="preserve"> een effectieve anticonceptiemethode te gebruiken en geen kind te verwekken tijdens de behandeling en gedurende 3 maanden na de laatste dosis </w:t>
      </w:r>
      <w:r w:rsidR="00582DBD" w:rsidRPr="00D21D8C">
        <w:rPr>
          <w:rFonts w:asciiTheme="majorBidi" w:hAnsiTheme="majorBidi" w:cstheme="majorBidi"/>
          <w:color w:val="000000"/>
          <w:szCs w:val="22"/>
          <w:u w:color="FFFFFF"/>
        </w:rPr>
        <w:t>Jaypirca</w:t>
      </w:r>
      <w:r w:rsidRPr="00D21D8C">
        <w:rPr>
          <w:rFonts w:asciiTheme="majorBidi" w:hAnsiTheme="majorBidi" w:cstheme="majorBidi"/>
          <w:color w:val="000000"/>
          <w:szCs w:val="22"/>
          <w:u w:color="FFFFFF"/>
        </w:rPr>
        <w:t xml:space="preserve"> (zie rubriek 4.4).</w:t>
      </w:r>
    </w:p>
    <w:p w14:paraId="63AB5AF7" w14:textId="77777777" w:rsidR="001A274F" w:rsidRPr="00D21D8C" w:rsidRDefault="001A274F">
      <w:pPr>
        <w:spacing w:line="240" w:lineRule="auto"/>
        <w:rPr>
          <w:rFonts w:asciiTheme="majorBidi" w:hAnsiTheme="majorBidi" w:cstheme="majorBidi"/>
          <w:szCs w:val="22"/>
        </w:rPr>
      </w:pPr>
    </w:p>
    <w:p w14:paraId="3FCDA393" w14:textId="77777777"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val="single" w:color="000000"/>
        </w:rPr>
        <w:lastRenderedPageBreak/>
        <w:t>Zwangerschap</w:t>
      </w:r>
    </w:p>
    <w:p w14:paraId="4F09232E" w14:textId="77777777" w:rsidR="001A274F" w:rsidRPr="00D21D8C" w:rsidRDefault="001A274F">
      <w:pPr>
        <w:keepNext/>
        <w:spacing w:line="240" w:lineRule="auto"/>
        <w:rPr>
          <w:rFonts w:asciiTheme="majorBidi" w:hAnsiTheme="majorBidi" w:cstheme="majorBidi"/>
          <w:szCs w:val="22"/>
        </w:rPr>
      </w:pPr>
    </w:p>
    <w:p w14:paraId="2C978151" w14:textId="7057148A" w:rsidR="001A274F" w:rsidRPr="00D21D8C" w:rsidRDefault="00DA418A">
      <w:pPr>
        <w:tabs>
          <w:tab w:val="clear" w:pos="567"/>
        </w:tabs>
        <w:spacing w:line="240" w:lineRule="auto"/>
        <w:rPr>
          <w:rFonts w:asciiTheme="majorBidi" w:hAnsiTheme="majorBidi" w:cstheme="majorBidi"/>
          <w:szCs w:val="22"/>
        </w:rPr>
      </w:pPr>
      <w:r w:rsidRPr="00D21D8C">
        <w:rPr>
          <w:rFonts w:asciiTheme="majorBidi" w:hAnsiTheme="majorBidi" w:cstheme="majorBidi"/>
          <w:color w:val="000000"/>
          <w:szCs w:val="22"/>
          <w:u w:color="FFFFFF"/>
          <w:lang w:eastAsia="en-GB"/>
        </w:rPr>
        <w:t xml:space="preserve">Er zijn geen gegevens over het gebruik van Jaypirca bij zwangere vrouwen. Uit dieronderzoek is reproductietoxiciteit gebleken (zie rubriek 5.3). Jaypirca </w:t>
      </w:r>
      <w:r w:rsidR="00AA5EB2" w:rsidRPr="00D21D8C">
        <w:rPr>
          <w:rFonts w:asciiTheme="majorBidi" w:hAnsiTheme="majorBidi" w:cstheme="majorBidi"/>
          <w:color w:val="000000"/>
          <w:szCs w:val="22"/>
          <w:u w:color="FFFFFF"/>
          <w:lang w:eastAsia="en-GB"/>
        </w:rPr>
        <w:t xml:space="preserve">mag </w:t>
      </w:r>
      <w:r w:rsidR="007461F6" w:rsidRPr="00D21D8C">
        <w:rPr>
          <w:rFonts w:asciiTheme="majorBidi" w:hAnsiTheme="majorBidi" w:cstheme="majorBidi"/>
          <w:color w:val="000000"/>
          <w:szCs w:val="22"/>
          <w:u w:color="FFFFFF"/>
          <w:lang w:eastAsia="en-GB"/>
        </w:rPr>
        <w:t xml:space="preserve">niet </w:t>
      </w:r>
      <w:r w:rsidRPr="00D21D8C">
        <w:rPr>
          <w:rFonts w:asciiTheme="majorBidi" w:hAnsiTheme="majorBidi" w:cstheme="majorBidi"/>
          <w:color w:val="000000"/>
          <w:szCs w:val="22"/>
          <w:u w:color="FFFFFF"/>
          <w:lang w:eastAsia="en-GB"/>
        </w:rPr>
        <w:t>tijdens de zwangerschap</w:t>
      </w:r>
      <w:r w:rsidR="00AA5EB2" w:rsidRPr="00D21D8C">
        <w:rPr>
          <w:rFonts w:asciiTheme="majorBidi" w:hAnsiTheme="majorBidi" w:cstheme="majorBidi"/>
          <w:color w:val="000000"/>
          <w:szCs w:val="22"/>
          <w:u w:color="FFFFFF"/>
          <w:lang w:eastAsia="en-GB"/>
        </w:rPr>
        <w:t xml:space="preserve"> worden gebruikt</w:t>
      </w:r>
      <w:r w:rsidRPr="00D21D8C">
        <w:rPr>
          <w:rFonts w:asciiTheme="majorBidi" w:hAnsiTheme="majorBidi" w:cstheme="majorBidi"/>
          <w:i/>
          <w:iCs/>
          <w:color w:val="000000"/>
          <w:szCs w:val="22"/>
          <w:u w:color="FFFFFF"/>
          <w:lang w:eastAsia="en-GB"/>
        </w:rPr>
        <w:t>.</w:t>
      </w:r>
    </w:p>
    <w:p w14:paraId="4B48BF97" w14:textId="77777777" w:rsidR="001A274F" w:rsidRPr="00D21D8C" w:rsidRDefault="001A274F">
      <w:pPr>
        <w:spacing w:line="240" w:lineRule="auto"/>
        <w:rPr>
          <w:rFonts w:asciiTheme="majorBidi" w:hAnsiTheme="majorBidi" w:cstheme="majorBidi"/>
          <w:szCs w:val="22"/>
        </w:rPr>
      </w:pPr>
    </w:p>
    <w:p w14:paraId="40EAE26A" w14:textId="77777777"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val="single" w:color="000000"/>
        </w:rPr>
        <w:t>Borstvoeding</w:t>
      </w:r>
    </w:p>
    <w:p w14:paraId="0DFCDF31" w14:textId="77777777" w:rsidR="001A274F" w:rsidRPr="00D21D8C" w:rsidRDefault="001A274F">
      <w:pPr>
        <w:keepNext/>
        <w:spacing w:line="240" w:lineRule="auto"/>
        <w:rPr>
          <w:rFonts w:asciiTheme="majorBidi" w:hAnsiTheme="majorBidi" w:cstheme="majorBidi"/>
          <w:szCs w:val="22"/>
        </w:rPr>
      </w:pPr>
    </w:p>
    <w:p w14:paraId="390B16BF" w14:textId="313E417A" w:rsidR="001A274F" w:rsidRPr="00D21D8C" w:rsidRDefault="00DA418A">
      <w:pPr>
        <w:keepNext/>
        <w:tabs>
          <w:tab w:val="clear" w:pos="567"/>
        </w:tabs>
        <w:spacing w:line="240" w:lineRule="auto"/>
        <w:rPr>
          <w:rFonts w:asciiTheme="majorBidi" w:eastAsia="SimSun" w:hAnsiTheme="majorBidi" w:cstheme="majorBidi"/>
          <w:szCs w:val="22"/>
          <w:lang w:eastAsia="en-GB"/>
        </w:rPr>
      </w:pPr>
      <w:r w:rsidRPr="00D21D8C">
        <w:rPr>
          <w:rFonts w:asciiTheme="majorBidi" w:hAnsiTheme="majorBidi" w:cstheme="majorBidi"/>
          <w:color w:val="000000"/>
          <w:szCs w:val="22"/>
          <w:u w:color="FFFFFF"/>
          <w:lang w:eastAsia="en-GB"/>
        </w:rPr>
        <w:t xml:space="preserve">Het is niet bekend of pirtobrutinib in de moedermelk wordt uitgescheiden. Risico voor pasgeborenen/zuigelingen kan niet worden uitgesloten. Borstvoeding moet worden gestaakt tijdens behandeling met Jaypirca en gedurende één week na de laatste dosis Jaypirca. </w:t>
      </w:r>
    </w:p>
    <w:p w14:paraId="79745CD9" w14:textId="77777777" w:rsidR="001A274F" w:rsidRPr="00D21D8C" w:rsidRDefault="001A274F">
      <w:pPr>
        <w:spacing w:line="240" w:lineRule="auto"/>
        <w:rPr>
          <w:rFonts w:asciiTheme="majorBidi" w:hAnsiTheme="majorBidi" w:cstheme="majorBidi"/>
          <w:szCs w:val="22"/>
        </w:rPr>
      </w:pPr>
    </w:p>
    <w:p w14:paraId="001AEB45" w14:textId="77777777" w:rsidR="001A274F" w:rsidRPr="00D21D8C" w:rsidRDefault="00DA418A" w:rsidP="00AC733E">
      <w:pPr>
        <w:keepNext/>
        <w:spacing w:line="240" w:lineRule="auto"/>
        <w:rPr>
          <w:rFonts w:asciiTheme="majorBidi" w:hAnsiTheme="majorBidi" w:cstheme="majorBidi"/>
          <w:szCs w:val="22"/>
        </w:rPr>
      </w:pPr>
      <w:r w:rsidRPr="00D21D8C">
        <w:rPr>
          <w:rFonts w:asciiTheme="majorBidi" w:hAnsiTheme="majorBidi" w:cstheme="majorBidi"/>
          <w:color w:val="000000"/>
          <w:szCs w:val="22"/>
          <w:u w:val="single" w:color="000000"/>
        </w:rPr>
        <w:t>Vruchtbaarheid</w:t>
      </w:r>
    </w:p>
    <w:p w14:paraId="23C0620D" w14:textId="77777777" w:rsidR="001A274F" w:rsidRPr="00D21D8C" w:rsidRDefault="001A274F" w:rsidP="00AC733E">
      <w:pPr>
        <w:keepNext/>
        <w:spacing w:line="240" w:lineRule="auto"/>
        <w:rPr>
          <w:rFonts w:asciiTheme="majorBidi" w:hAnsiTheme="majorBidi" w:cstheme="majorBidi"/>
          <w:szCs w:val="22"/>
        </w:rPr>
      </w:pPr>
    </w:p>
    <w:p w14:paraId="267E581B" w14:textId="3657B055" w:rsidR="001A274F" w:rsidRPr="00D21D8C" w:rsidRDefault="00DA418A" w:rsidP="00AC733E">
      <w:pPr>
        <w:keepNext/>
        <w:spacing w:line="240" w:lineRule="auto"/>
        <w:rPr>
          <w:rFonts w:asciiTheme="majorBidi" w:hAnsiTheme="majorBidi" w:cstheme="majorBidi"/>
          <w:szCs w:val="22"/>
        </w:rPr>
      </w:pPr>
      <w:r w:rsidRPr="00D21D8C">
        <w:rPr>
          <w:rFonts w:asciiTheme="majorBidi" w:hAnsiTheme="majorBidi" w:cstheme="majorBidi"/>
          <w:color w:val="000000"/>
          <w:szCs w:val="22"/>
          <w:u w:color="FFFFFF"/>
        </w:rPr>
        <w:t>Er zijn geen gegevens over het effect van pirtobrutinib op de vruchtbaarheid</w:t>
      </w:r>
      <w:r w:rsidR="008C06BD" w:rsidRPr="00D21D8C">
        <w:rPr>
          <w:rFonts w:asciiTheme="majorBidi" w:hAnsiTheme="majorBidi" w:cstheme="majorBidi"/>
          <w:color w:val="000000"/>
          <w:szCs w:val="22"/>
          <w:u w:color="FFFFFF"/>
        </w:rPr>
        <w:t xml:space="preserve"> bij de mens</w:t>
      </w:r>
      <w:r w:rsidRPr="00D21D8C">
        <w:rPr>
          <w:rFonts w:asciiTheme="majorBidi" w:hAnsiTheme="majorBidi" w:cstheme="majorBidi"/>
          <w:color w:val="000000"/>
          <w:szCs w:val="22"/>
          <w:u w:color="FFFFFF"/>
        </w:rPr>
        <w:t xml:space="preserve">. </w:t>
      </w:r>
    </w:p>
    <w:p w14:paraId="5806BB54" w14:textId="77777777" w:rsidR="001A274F" w:rsidRPr="00D21D8C" w:rsidRDefault="001A274F">
      <w:pPr>
        <w:spacing w:line="240" w:lineRule="auto"/>
        <w:rPr>
          <w:rFonts w:asciiTheme="majorBidi" w:hAnsiTheme="majorBidi" w:cstheme="majorBidi"/>
          <w:i/>
          <w:szCs w:val="22"/>
        </w:rPr>
      </w:pPr>
    </w:p>
    <w:p w14:paraId="154D7636" w14:textId="663421FD" w:rsidR="001A274F" w:rsidRPr="00D21D8C" w:rsidRDefault="00DA418A">
      <w:pPr>
        <w:keepNext/>
        <w:spacing w:line="240" w:lineRule="auto"/>
        <w:ind w:left="567" w:hanging="567"/>
        <w:outlineLvl w:val="0"/>
        <w:rPr>
          <w:rFonts w:asciiTheme="majorBidi" w:hAnsiTheme="majorBidi" w:cstheme="majorBidi"/>
          <w:szCs w:val="22"/>
        </w:rPr>
      </w:pPr>
      <w:r w:rsidRPr="00D21D8C">
        <w:rPr>
          <w:rFonts w:asciiTheme="majorBidi" w:hAnsiTheme="majorBidi" w:cstheme="majorBidi"/>
          <w:b/>
          <w:bCs/>
          <w:color w:val="000000"/>
          <w:szCs w:val="22"/>
          <w:u w:color="FFFFFF"/>
        </w:rPr>
        <w:t>4.7</w:t>
      </w:r>
      <w:r w:rsidRPr="00D21D8C">
        <w:rPr>
          <w:rFonts w:asciiTheme="majorBidi" w:hAnsiTheme="majorBidi" w:cstheme="majorBidi"/>
          <w:b/>
          <w:bCs/>
          <w:color w:val="000000"/>
          <w:szCs w:val="22"/>
          <w:u w:color="FFFFFF"/>
        </w:rPr>
        <w:tab/>
        <w:t>Beïnvloeding van de rijvaardigheid en het vermogen om machines te bedienen</w:t>
      </w:r>
      <w:r w:rsidR="0011019E" w:rsidRPr="00D21D8C">
        <w:rPr>
          <w:rFonts w:asciiTheme="majorBidi" w:hAnsiTheme="majorBidi" w:cstheme="majorBidi"/>
          <w:b/>
          <w:bCs/>
          <w:color w:val="000000"/>
          <w:szCs w:val="22"/>
          <w:u w:color="FFFFFF"/>
        </w:rPr>
        <w:fldChar w:fldCharType="begin"/>
      </w:r>
      <w:r w:rsidR="0011019E" w:rsidRPr="00D21D8C">
        <w:rPr>
          <w:rFonts w:asciiTheme="majorBidi" w:hAnsiTheme="majorBidi" w:cstheme="majorBidi"/>
          <w:b/>
          <w:bCs/>
          <w:color w:val="000000"/>
          <w:szCs w:val="22"/>
          <w:u w:color="FFFFFF"/>
        </w:rPr>
        <w:instrText xml:space="preserve"> DOCVARIABLE vault_nd_d369d0e8-4392-4aef-944d-500bc1fe2150 \* MERGEFORMAT </w:instrText>
      </w:r>
      <w:r w:rsidR="0011019E" w:rsidRPr="00D21D8C">
        <w:rPr>
          <w:rFonts w:asciiTheme="majorBidi" w:hAnsiTheme="majorBidi" w:cstheme="majorBidi"/>
          <w:b/>
          <w:bCs/>
          <w:color w:val="000000"/>
          <w:szCs w:val="22"/>
          <w:u w:color="FFFFFF"/>
        </w:rPr>
        <w:fldChar w:fldCharType="separate"/>
      </w:r>
      <w:r w:rsidR="0011019E" w:rsidRPr="00D21D8C">
        <w:rPr>
          <w:rFonts w:asciiTheme="majorBidi" w:hAnsiTheme="majorBidi" w:cstheme="majorBidi"/>
          <w:b/>
          <w:bCs/>
          <w:color w:val="000000"/>
          <w:szCs w:val="22"/>
          <w:u w:color="FFFFFF"/>
        </w:rPr>
        <w:t xml:space="preserve"> </w:t>
      </w:r>
      <w:r w:rsidR="0011019E" w:rsidRPr="00D21D8C">
        <w:rPr>
          <w:rFonts w:asciiTheme="majorBidi" w:hAnsiTheme="majorBidi" w:cstheme="majorBidi"/>
          <w:b/>
          <w:bCs/>
          <w:color w:val="000000"/>
          <w:szCs w:val="22"/>
          <w:u w:color="FFFFFF"/>
        </w:rPr>
        <w:fldChar w:fldCharType="end"/>
      </w:r>
    </w:p>
    <w:p w14:paraId="57BCB049" w14:textId="77777777" w:rsidR="001A274F" w:rsidRPr="00D21D8C" w:rsidRDefault="001A274F">
      <w:pPr>
        <w:keepNext/>
        <w:spacing w:line="240" w:lineRule="auto"/>
        <w:rPr>
          <w:rFonts w:asciiTheme="majorBidi" w:hAnsiTheme="majorBidi" w:cstheme="majorBidi"/>
          <w:szCs w:val="22"/>
        </w:rPr>
      </w:pPr>
    </w:p>
    <w:p w14:paraId="7CC3C2F9" w14:textId="57BBF28F"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color="FFFFFF"/>
        </w:rPr>
        <w:t xml:space="preserve">Jaypirca </w:t>
      </w:r>
      <w:r w:rsidR="005C677C" w:rsidRPr="00D21D8C">
        <w:rPr>
          <w:rFonts w:asciiTheme="majorBidi" w:hAnsiTheme="majorBidi" w:cstheme="majorBidi"/>
          <w:color w:val="000000"/>
          <w:szCs w:val="22"/>
          <w:u w:color="FFFFFF"/>
        </w:rPr>
        <w:t xml:space="preserve">heeft </w:t>
      </w:r>
      <w:r w:rsidR="007461F6" w:rsidRPr="00D21D8C">
        <w:rPr>
          <w:rFonts w:asciiTheme="majorBidi" w:hAnsiTheme="majorBidi" w:cstheme="majorBidi"/>
          <w:color w:val="000000"/>
          <w:szCs w:val="22"/>
          <w:u w:color="FFFFFF"/>
        </w:rPr>
        <w:t xml:space="preserve">geringe invloed </w:t>
      </w:r>
      <w:r w:rsidRPr="00D21D8C">
        <w:rPr>
          <w:rFonts w:asciiTheme="majorBidi" w:hAnsiTheme="majorBidi" w:cstheme="majorBidi"/>
          <w:color w:val="000000"/>
          <w:szCs w:val="22"/>
          <w:u w:color="FFFFFF"/>
        </w:rPr>
        <w:t>op de rijvaardigheid en op het vermogen om machines te bedienen. Bij sommige patiënten die Jaypirca gebruikten, is tijdens de behandeling vermoeidheid, duizeligheid en asthenie gemeld. Hiermee dient rekening te worden gehouden bij de beoordeling van de rijvaardigheid</w:t>
      </w:r>
      <w:r w:rsidR="004548AF" w:rsidRPr="00D21D8C">
        <w:rPr>
          <w:rFonts w:asciiTheme="majorBidi" w:hAnsiTheme="majorBidi" w:cstheme="majorBidi"/>
          <w:color w:val="000000"/>
          <w:szCs w:val="22"/>
          <w:u w:color="FFFFFF"/>
        </w:rPr>
        <w:t xml:space="preserve"> van de pati</w:t>
      </w:r>
      <w:r w:rsidR="002B589D" w:rsidRPr="00D21D8C">
        <w:rPr>
          <w:rFonts w:asciiTheme="majorBidi" w:hAnsiTheme="majorBidi" w:cstheme="majorBidi"/>
          <w:color w:val="000000"/>
          <w:szCs w:val="22"/>
          <w:u w:color="FFFFFF"/>
        </w:rPr>
        <w:t>ë</w:t>
      </w:r>
      <w:r w:rsidR="004548AF" w:rsidRPr="00D21D8C">
        <w:rPr>
          <w:rFonts w:asciiTheme="majorBidi" w:hAnsiTheme="majorBidi" w:cstheme="majorBidi"/>
          <w:color w:val="000000"/>
          <w:szCs w:val="22"/>
          <w:u w:color="FFFFFF"/>
        </w:rPr>
        <w:t>nt</w:t>
      </w:r>
      <w:r w:rsidRPr="00D21D8C">
        <w:rPr>
          <w:rFonts w:asciiTheme="majorBidi" w:hAnsiTheme="majorBidi" w:cstheme="majorBidi"/>
          <w:color w:val="000000"/>
          <w:szCs w:val="22"/>
          <w:u w:color="FFFFFF"/>
        </w:rPr>
        <w:t xml:space="preserve"> en </w:t>
      </w:r>
      <w:r w:rsidR="00593731" w:rsidRPr="00D21D8C">
        <w:rPr>
          <w:rFonts w:asciiTheme="majorBidi" w:hAnsiTheme="majorBidi" w:cstheme="majorBidi"/>
          <w:color w:val="000000"/>
          <w:szCs w:val="22"/>
          <w:u w:color="FFFFFF"/>
        </w:rPr>
        <w:t xml:space="preserve">van </w:t>
      </w:r>
      <w:r w:rsidRPr="00D21D8C">
        <w:rPr>
          <w:rFonts w:asciiTheme="majorBidi" w:hAnsiTheme="majorBidi" w:cstheme="majorBidi"/>
          <w:color w:val="000000"/>
          <w:szCs w:val="22"/>
          <w:u w:color="FFFFFF"/>
        </w:rPr>
        <w:t xml:space="preserve">het vermogen van een patiënt om machines te bedienen. </w:t>
      </w:r>
    </w:p>
    <w:p w14:paraId="7D1BBE38" w14:textId="77777777" w:rsidR="001A274F" w:rsidRPr="00D21D8C" w:rsidRDefault="001A274F">
      <w:pPr>
        <w:spacing w:line="240" w:lineRule="auto"/>
        <w:rPr>
          <w:rFonts w:asciiTheme="majorBidi" w:hAnsiTheme="majorBidi" w:cstheme="majorBidi"/>
          <w:szCs w:val="22"/>
        </w:rPr>
      </w:pPr>
    </w:p>
    <w:p w14:paraId="2C5D5C9C" w14:textId="5708540A" w:rsidR="001A274F" w:rsidRPr="00D21D8C" w:rsidRDefault="00DA418A">
      <w:pPr>
        <w:keepNext/>
        <w:spacing w:line="240" w:lineRule="auto"/>
        <w:outlineLvl w:val="0"/>
        <w:rPr>
          <w:rFonts w:asciiTheme="majorBidi" w:hAnsiTheme="majorBidi" w:cstheme="majorBidi"/>
          <w:b/>
          <w:szCs w:val="22"/>
        </w:rPr>
      </w:pPr>
      <w:r w:rsidRPr="00D21D8C">
        <w:rPr>
          <w:rFonts w:asciiTheme="majorBidi" w:hAnsiTheme="majorBidi" w:cstheme="majorBidi"/>
          <w:b/>
          <w:bCs/>
          <w:color w:val="000000"/>
          <w:szCs w:val="22"/>
          <w:u w:color="FFFFFF"/>
        </w:rPr>
        <w:t>4.8</w:t>
      </w:r>
      <w:r w:rsidRPr="00D21D8C">
        <w:rPr>
          <w:rFonts w:asciiTheme="majorBidi" w:hAnsiTheme="majorBidi" w:cstheme="majorBidi"/>
          <w:b/>
          <w:bCs/>
          <w:color w:val="000000"/>
          <w:szCs w:val="22"/>
          <w:u w:color="FFFFFF"/>
        </w:rPr>
        <w:tab/>
        <w:t>Bijwerkingen</w:t>
      </w:r>
      <w:r w:rsidR="0011019E" w:rsidRPr="00D21D8C">
        <w:rPr>
          <w:rFonts w:asciiTheme="majorBidi" w:hAnsiTheme="majorBidi" w:cstheme="majorBidi"/>
          <w:b/>
          <w:bCs/>
          <w:color w:val="000000"/>
          <w:szCs w:val="22"/>
          <w:u w:color="FFFFFF"/>
        </w:rPr>
        <w:fldChar w:fldCharType="begin"/>
      </w:r>
      <w:r w:rsidR="0011019E" w:rsidRPr="00D21D8C">
        <w:rPr>
          <w:rFonts w:asciiTheme="majorBidi" w:hAnsiTheme="majorBidi" w:cstheme="majorBidi"/>
          <w:b/>
          <w:bCs/>
          <w:color w:val="000000"/>
          <w:szCs w:val="22"/>
          <w:u w:color="FFFFFF"/>
        </w:rPr>
        <w:instrText xml:space="preserve"> DOCVARIABLE vault_nd_cb8be465-cea0-4156-b1fb-9bf6266b05b1 \* MERGEFORMAT </w:instrText>
      </w:r>
      <w:r w:rsidR="0011019E" w:rsidRPr="00D21D8C">
        <w:rPr>
          <w:rFonts w:asciiTheme="majorBidi" w:hAnsiTheme="majorBidi" w:cstheme="majorBidi"/>
          <w:b/>
          <w:bCs/>
          <w:color w:val="000000"/>
          <w:szCs w:val="22"/>
          <w:u w:color="FFFFFF"/>
        </w:rPr>
        <w:fldChar w:fldCharType="separate"/>
      </w:r>
      <w:r w:rsidR="0011019E" w:rsidRPr="00D21D8C">
        <w:rPr>
          <w:rFonts w:asciiTheme="majorBidi" w:hAnsiTheme="majorBidi" w:cstheme="majorBidi"/>
          <w:b/>
          <w:bCs/>
          <w:color w:val="000000"/>
          <w:szCs w:val="22"/>
          <w:u w:color="FFFFFF"/>
        </w:rPr>
        <w:t xml:space="preserve"> </w:t>
      </w:r>
      <w:r w:rsidR="0011019E" w:rsidRPr="00D21D8C">
        <w:rPr>
          <w:rFonts w:asciiTheme="majorBidi" w:hAnsiTheme="majorBidi" w:cstheme="majorBidi"/>
          <w:b/>
          <w:bCs/>
          <w:color w:val="000000"/>
          <w:szCs w:val="22"/>
          <w:u w:color="FFFFFF"/>
        </w:rPr>
        <w:fldChar w:fldCharType="end"/>
      </w:r>
    </w:p>
    <w:p w14:paraId="14B6A6AA" w14:textId="77777777" w:rsidR="001A274F" w:rsidRPr="00D21D8C" w:rsidRDefault="001A274F">
      <w:pPr>
        <w:keepNext/>
        <w:spacing w:line="240" w:lineRule="auto"/>
        <w:jc w:val="both"/>
        <w:rPr>
          <w:rFonts w:asciiTheme="majorBidi" w:hAnsiTheme="majorBidi" w:cstheme="majorBidi"/>
          <w:szCs w:val="22"/>
        </w:rPr>
      </w:pPr>
    </w:p>
    <w:p w14:paraId="3E248101" w14:textId="77777777" w:rsidR="001A274F" w:rsidRPr="00D21D8C" w:rsidRDefault="00DA418A">
      <w:pPr>
        <w:keepNext/>
        <w:spacing w:line="240" w:lineRule="auto"/>
        <w:jc w:val="both"/>
        <w:rPr>
          <w:rFonts w:asciiTheme="majorBidi" w:hAnsiTheme="majorBidi" w:cstheme="majorBidi"/>
          <w:szCs w:val="22"/>
        </w:rPr>
      </w:pPr>
      <w:r w:rsidRPr="00D21D8C">
        <w:rPr>
          <w:rFonts w:asciiTheme="majorBidi" w:hAnsiTheme="majorBidi" w:cstheme="majorBidi"/>
          <w:color w:val="000000"/>
          <w:szCs w:val="22"/>
          <w:u w:val="single" w:color="000000"/>
        </w:rPr>
        <w:t>Samenvatting van het veiligheidsprofiel</w:t>
      </w:r>
    </w:p>
    <w:p w14:paraId="1975D483" w14:textId="77777777" w:rsidR="001A274F" w:rsidRPr="00D21D8C" w:rsidRDefault="001A274F">
      <w:pPr>
        <w:keepNext/>
        <w:spacing w:line="240" w:lineRule="auto"/>
        <w:jc w:val="both"/>
        <w:rPr>
          <w:rFonts w:asciiTheme="majorBidi" w:hAnsiTheme="majorBidi" w:cstheme="majorBidi"/>
          <w:szCs w:val="22"/>
          <w:u w:val="single"/>
        </w:rPr>
      </w:pPr>
    </w:p>
    <w:p w14:paraId="58667490" w14:textId="49E10EE7" w:rsidR="001A274F" w:rsidRPr="00D21D8C" w:rsidRDefault="00DA418A">
      <w:pPr>
        <w:keepNext/>
        <w:spacing w:line="240" w:lineRule="auto"/>
        <w:rPr>
          <w:rFonts w:asciiTheme="majorBidi" w:hAnsiTheme="majorBidi" w:cstheme="majorBidi"/>
          <w:color w:val="000000"/>
          <w:szCs w:val="22"/>
          <w:u w:color="FFFFFF"/>
        </w:rPr>
      </w:pPr>
      <w:r w:rsidRPr="00D21D8C">
        <w:rPr>
          <w:rFonts w:asciiTheme="majorBidi" w:hAnsiTheme="majorBidi" w:cstheme="majorBidi"/>
          <w:color w:val="000000"/>
          <w:szCs w:val="22"/>
          <w:u w:color="FFFFFF"/>
        </w:rPr>
        <w:t xml:space="preserve">De meest </w:t>
      </w:r>
      <w:r w:rsidR="008F6DD8" w:rsidRPr="00D21D8C">
        <w:rPr>
          <w:rFonts w:asciiTheme="majorBidi" w:hAnsiTheme="majorBidi" w:cstheme="majorBidi"/>
          <w:color w:val="000000"/>
          <w:szCs w:val="22"/>
          <w:u w:color="FFFFFF"/>
        </w:rPr>
        <w:t xml:space="preserve">gemelde </w:t>
      </w:r>
      <w:r w:rsidRPr="00D21D8C">
        <w:rPr>
          <w:rFonts w:asciiTheme="majorBidi" w:hAnsiTheme="majorBidi" w:cstheme="majorBidi"/>
          <w:color w:val="000000"/>
          <w:szCs w:val="22"/>
          <w:u w:color="FFFFFF"/>
        </w:rPr>
        <w:t xml:space="preserve">bijwerkingen van welke graad dan ook: </w:t>
      </w:r>
      <w:r w:rsidR="00593833" w:rsidRPr="00D21D8C">
        <w:rPr>
          <w:rFonts w:asciiTheme="majorBidi" w:hAnsiTheme="majorBidi" w:cstheme="majorBidi"/>
          <w:color w:val="000000"/>
          <w:szCs w:val="22"/>
          <w:u w:color="FFFFFF"/>
        </w:rPr>
        <w:t xml:space="preserve">neutropenie (27,7%), </w:t>
      </w:r>
      <w:r w:rsidRPr="00D21D8C">
        <w:rPr>
          <w:rFonts w:asciiTheme="majorBidi" w:hAnsiTheme="majorBidi" w:cstheme="majorBidi"/>
          <w:color w:val="000000"/>
          <w:szCs w:val="22"/>
          <w:u w:color="FFFFFF"/>
        </w:rPr>
        <w:t>vermoeidheid</w:t>
      </w:r>
      <w:r w:rsidR="002F708C"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(26,</w:t>
      </w:r>
      <w:r w:rsidR="002F708C" w:rsidRPr="00D21D8C">
        <w:rPr>
          <w:rFonts w:asciiTheme="majorBidi" w:hAnsiTheme="majorBidi" w:cstheme="majorBidi"/>
          <w:color w:val="000000"/>
          <w:szCs w:val="22"/>
          <w:u w:color="FFFFFF"/>
        </w:rPr>
        <w:t>2</w:t>
      </w:r>
      <w:r w:rsidRPr="00D21D8C">
        <w:rPr>
          <w:rFonts w:asciiTheme="majorBidi" w:hAnsiTheme="majorBidi" w:cstheme="majorBidi"/>
          <w:color w:val="000000"/>
          <w:szCs w:val="22"/>
          <w:u w:color="FFFFFF"/>
        </w:rPr>
        <w:t>%), diarree (2</w:t>
      </w:r>
      <w:r w:rsidR="002F708C" w:rsidRPr="00D21D8C">
        <w:rPr>
          <w:rFonts w:asciiTheme="majorBidi" w:hAnsiTheme="majorBidi" w:cstheme="majorBidi"/>
          <w:color w:val="000000"/>
          <w:szCs w:val="22"/>
          <w:u w:color="FFFFFF"/>
        </w:rPr>
        <w:t>3</w:t>
      </w:r>
      <w:r w:rsidRPr="00D21D8C">
        <w:rPr>
          <w:rFonts w:asciiTheme="majorBidi" w:hAnsiTheme="majorBidi" w:cstheme="majorBidi"/>
          <w:color w:val="000000"/>
          <w:szCs w:val="22"/>
          <w:u w:color="FFFFFF"/>
        </w:rPr>
        <w:t>,</w:t>
      </w:r>
      <w:r w:rsidR="002F708C" w:rsidRPr="00D21D8C">
        <w:rPr>
          <w:rFonts w:asciiTheme="majorBidi" w:hAnsiTheme="majorBidi" w:cstheme="majorBidi"/>
          <w:color w:val="000000"/>
          <w:szCs w:val="22"/>
          <w:u w:color="FFFFFF"/>
        </w:rPr>
        <w:t>8</w:t>
      </w:r>
      <w:r w:rsidRPr="00D21D8C">
        <w:rPr>
          <w:rFonts w:asciiTheme="majorBidi" w:hAnsiTheme="majorBidi" w:cstheme="majorBidi"/>
          <w:color w:val="000000"/>
          <w:szCs w:val="22"/>
          <w:u w:color="FFFFFF"/>
        </w:rPr>
        <w:t>%)</w:t>
      </w:r>
      <w:r w:rsidR="002D3300" w:rsidRPr="00D21D8C">
        <w:rPr>
          <w:rFonts w:asciiTheme="majorBidi" w:hAnsiTheme="majorBidi" w:cstheme="majorBidi"/>
          <w:color w:val="000000"/>
          <w:szCs w:val="22"/>
          <w:u w:color="FFFFFF"/>
        </w:rPr>
        <w:t>,</w:t>
      </w:r>
      <w:r w:rsidR="002D3300" w:rsidRPr="00D21D8C">
        <w:t xml:space="preserve"> </w:t>
      </w:r>
      <w:r w:rsidR="002D3300" w:rsidRPr="00D21D8C">
        <w:rPr>
          <w:rFonts w:asciiTheme="majorBidi" w:hAnsiTheme="majorBidi" w:cstheme="majorBidi"/>
          <w:color w:val="000000"/>
          <w:szCs w:val="22"/>
          <w:u w:color="FFFFFF"/>
        </w:rPr>
        <w:t xml:space="preserve">anemie (20,7%), </w:t>
      </w:r>
      <w:r w:rsidR="00F319F4" w:rsidRPr="00D21D8C">
        <w:rPr>
          <w:rStyle w:val="normaltextrun"/>
          <w:rFonts w:asciiTheme="majorBidi" w:hAnsiTheme="majorBidi" w:cstheme="majorBidi"/>
          <w:color w:val="000000"/>
          <w:szCs w:val="22"/>
          <w:u w:color="FFFFFF"/>
          <w:shd w:val="clear" w:color="auto" w:fill="FFFFFF"/>
        </w:rPr>
        <w:t xml:space="preserve">rash </w:t>
      </w:r>
      <w:r w:rsidR="002D3300" w:rsidRPr="00D21D8C">
        <w:rPr>
          <w:rFonts w:asciiTheme="majorBidi" w:hAnsiTheme="majorBidi" w:cstheme="majorBidi"/>
          <w:color w:val="000000"/>
          <w:szCs w:val="22"/>
          <w:u w:color="FFFFFF"/>
        </w:rPr>
        <w:t>(18,4%)</w:t>
      </w:r>
      <w:r w:rsidRPr="00D21D8C">
        <w:rPr>
          <w:rFonts w:asciiTheme="majorBidi" w:hAnsiTheme="majorBidi" w:cstheme="majorBidi"/>
          <w:color w:val="000000"/>
          <w:szCs w:val="22"/>
          <w:u w:color="FFFFFF"/>
        </w:rPr>
        <w:t xml:space="preserve"> en </w:t>
      </w:r>
      <w:r w:rsidR="002B1D4B" w:rsidRPr="00D21D8C">
        <w:rPr>
          <w:rFonts w:asciiTheme="majorBidi" w:hAnsiTheme="majorBidi" w:cstheme="majorBidi"/>
          <w:color w:val="000000"/>
          <w:szCs w:val="22"/>
          <w:u w:color="FFFFFF"/>
        </w:rPr>
        <w:t xml:space="preserve">kneuzingen </w:t>
      </w:r>
      <w:r w:rsidRPr="00D21D8C">
        <w:rPr>
          <w:rFonts w:asciiTheme="majorBidi" w:hAnsiTheme="majorBidi" w:cstheme="majorBidi"/>
          <w:color w:val="000000"/>
          <w:szCs w:val="22"/>
          <w:u w:color="FFFFFF"/>
        </w:rPr>
        <w:t>(1</w:t>
      </w:r>
      <w:r w:rsidR="002D3300" w:rsidRPr="00D21D8C">
        <w:rPr>
          <w:rFonts w:asciiTheme="majorBidi" w:hAnsiTheme="majorBidi" w:cstheme="majorBidi"/>
          <w:color w:val="000000"/>
          <w:szCs w:val="22"/>
          <w:u w:color="FFFFFF"/>
        </w:rPr>
        <w:t>7</w:t>
      </w:r>
      <w:r w:rsidRPr="00D21D8C">
        <w:rPr>
          <w:rFonts w:asciiTheme="majorBidi" w:hAnsiTheme="majorBidi" w:cstheme="majorBidi"/>
          <w:color w:val="000000"/>
          <w:szCs w:val="22"/>
          <w:u w:color="FFFFFF"/>
        </w:rPr>
        <w:t>,</w:t>
      </w:r>
      <w:r w:rsidR="002D3300" w:rsidRPr="00D21D8C">
        <w:rPr>
          <w:rFonts w:asciiTheme="majorBidi" w:hAnsiTheme="majorBidi" w:cstheme="majorBidi"/>
          <w:color w:val="000000"/>
          <w:szCs w:val="22"/>
          <w:u w:color="FFFFFF"/>
        </w:rPr>
        <w:t>8</w:t>
      </w:r>
      <w:r w:rsidRPr="00D21D8C">
        <w:rPr>
          <w:rFonts w:asciiTheme="majorBidi" w:hAnsiTheme="majorBidi" w:cstheme="majorBidi"/>
          <w:color w:val="000000"/>
          <w:szCs w:val="22"/>
          <w:u w:color="FFFFFF"/>
        </w:rPr>
        <w:t xml:space="preserve">%). </w:t>
      </w:r>
    </w:p>
    <w:p w14:paraId="7E121DCA" w14:textId="77777777" w:rsidR="007461F6" w:rsidRPr="00D21D8C" w:rsidRDefault="007461F6">
      <w:pPr>
        <w:keepNext/>
        <w:spacing w:line="240" w:lineRule="auto"/>
        <w:rPr>
          <w:rFonts w:asciiTheme="majorBidi" w:hAnsiTheme="majorBidi" w:cstheme="majorBidi"/>
          <w:szCs w:val="22"/>
        </w:rPr>
      </w:pPr>
    </w:p>
    <w:p w14:paraId="6D92A362" w14:textId="35F25431" w:rsidR="001A274F" w:rsidRPr="00D21D8C" w:rsidRDefault="00DA418A">
      <w:pPr>
        <w:keepNext/>
        <w:spacing w:line="240" w:lineRule="auto"/>
        <w:rPr>
          <w:rFonts w:asciiTheme="majorBidi" w:hAnsiTheme="majorBidi" w:cstheme="majorBidi"/>
          <w:color w:val="000000"/>
          <w:szCs w:val="22"/>
          <w:u w:color="FFFFFF"/>
        </w:rPr>
      </w:pPr>
      <w:r w:rsidRPr="00D21D8C">
        <w:rPr>
          <w:rFonts w:asciiTheme="majorBidi" w:hAnsiTheme="majorBidi" w:cstheme="majorBidi"/>
          <w:color w:val="000000"/>
          <w:szCs w:val="22"/>
          <w:u w:color="FFFFFF"/>
        </w:rPr>
        <w:t xml:space="preserve">De meest </w:t>
      </w:r>
      <w:r w:rsidR="008F6DD8" w:rsidRPr="00D21D8C">
        <w:rPr>
          <w:rFonts w:asciiTheme="majorBidi" w:hAnsiTheme="majorBidi" w:cstheme="majorBidi"/>
          <w:color w:val="000000"/>
          <w:szCs w:val="22"/>
          <w:u w:color="FFFFFF"/>
        </w:rPr>
        <w:t xml:space="preserve">gemelde </w:t>
      </w:r>
      <w:r w:rsidRPr="00D21D8C">
        <w:rPr>
          <w:rFonts w:asciiTheme="majorBidi" w:hAnsiTheme="majorBidi" w:cstheme="majorBidi"/>
          <w:color w:val="000000"/>
          <w:szCs w:val="22"/>
          <w:u w:color="FFFFFF"/>
        </w:rPr>
        <w:t>ernstige (graad ≥ 3) bijwerkingen zijn: neutropenie (</w:t>
      </w:r>
      <w:r w:rsidR="002D3300" w:rsidRPr="00D21D8C">
        <w:rPr>
          <w:rFonts w:asciiTheme="majorBidi" w:hAnsiTheme="majorBidi" w:cstheme="majorBidi"/>
          <w:color w:val="000000"/>
          <w:szCs w:val="22"/>
          <w:u w:color="FFFFFF"/>
        </w:rPr>
        <w:t>23</w:t>
      </w:r>
      <w:r w:rsidRPr="00D21D8C">
        <w:rPr>
          <w:rFonts w:asciiTheme="majorBidi" w:hAnsiTheme="majorBidi" w:cstheme="majorBidi"/>
          <w:color w:val="000000"/>
          <w:szCs w:val="22"/>
          <w:u w:color="FFFFFF"/>
        </w:rPr>
        <w:t>,</w:t>
      </w:r>
      <w:r w:rsidR="002D3300" w:rsidRPr="00D21D8C">
        <w:rPr>
          <w:rFonts w:asciiTheme="majorBidi" w:hAnsiTheme="majorBidi" w:cstheme="majorBidi"/>
          <w:color w:val="000000"/>
          <w:szCs w:val="22"/>
          <w:u w:color="FFFFFF"/>
        </w:rPr>
        <w:t>9</w:t>
      </w:r>
      <w:r w:rsidRPr="00D21D8C">
        <w:rPr>
          <w:rFonts w:asciiTheme="majorBidi" w:hAnsiTheme="majorBidi" w:cstheme="majorBidi"/>
          <w:color w:val="000000"/>
          <w:szCs w:val="22"/>
          <w:u w:color="FFFFFF"/>
        </w:rPr>
        <w:t>%), anemie (</w:t>
      </w:r>
      <w:r w:rsidR="002D3300" w:rsidRPr="00D21D8C">
        <w:rPr>
          <w:rFonts w:asciiTheme="majorBidi" w:hAnsiTheme="majorBidi" w:cstheme="majorBidi"/>
          <w:color w:val="000000"/>
          <w:szCs w:val="22"/>
          <w:u w:color="FFFFFF"/>
        </w:rPr>
        <w:t>11</w:t>
      </w:r>
      <w:r w:rsidRPr="00D21D8C">
        <w:rPr>
          <w:rFonts w:asciiTheme="majorBidi" w:hAnsiTheme="majorBidi" w:cstheme="majorBidi"/>
          <w:color w:val="000000"/>
          <w:szCs w:val="22"/>
          <w:u w:color="FFFFFF"/>
        </w:rPr>
        <w:t>,</w:t>
      </w:r>
      <w:r w:rsidR="002D3300" w:rsidRPr="00D21D8C">
        <w:rPr>
          <w:rFonts w:asciiTheme="majorBidi" w:hAnsiTheme="majorBidi" w:cstheme="majorBidi"/>
          <w:color w:val="000000"/>
          <w:szCs w:val="22"/>
          <w:u w:color="FFFFFF"/>
        </w:rPr>
        <w:t>2</w:t>
      </w:r>
      <w:r w:rsidRPr="00D21D8C">
        <w:rPr>
          <w:rFonts w:asciiTheme="majorBidi" w:hAnsiTheme="majorBidi" w:cstheme="majorBidi"/>
          <w:color w:val="000000"/>
          <w:szCs w:val="22"/>
          <w:u w:color="FFFFFF"/>
        </w:rPr>
        <w:t>%)</w:t>
      </w:r>
      <w:r w:rsidR="002D3300" w:rsidRPr="00D21D8C">
        <w:rPr>
          <w:rFonts w:asciiTheme="majorBidi" w:hAnsiTheme="majorBidi" w:cstheme="majorBidi"/>
          <w:color w:val="000000"/>
          <w:szCs w:val="22"/>
          <w:u w:color="FFFFFF"/>
        </w:rPr>
        <w:t xml:space="preserve">, </w:t>
      </w:r>
      <w:r w:rsidRPr="00D21D8C">
        <w:rPr>
          <w:rFonts w:asciiTheme="majorBidi" w:hAnsiTheme="majorBidi" w:cstheme="majorBidi"/>
          <w:color w:val="000000"/>
          <w:szCs w:val="22"/>
          <w:u w:color="FFFFFF"/>
        </w:rPr>
        <w:t>trombocytopenie (</w:t>
      </w:r>
      <w:r w:rsidR="002D3300" w:rsidRPr="00D21D8C">
        <w:rPr>
          <w:rFonts w:asciiTheme="majorBidi" w:hAnsiTheme="majorBidi" w:cstheme="majorBidi"/>
          <w:color w:val="000000"/>
          <w:szCs w:val="22"/>
          <w:u w:color="FFFFFF"/>
        </w:rPr>
        <w:t>9</w:t>
      </w:r>
      <w:r w:rsidRPr="00D21D8C">
        <w:rPr>
          <w:rFonts w:asciiTheme="majorBidi" w:hAnsiTheme="majorBidi" w:cstheme="majorBidi"/>
          <w:color w:val="000000"/>
          <w:szCs w:val="22"/>
          <w:u w:color="FFFFFF"/>
        </w:rPr>
        <w:t>,</w:t>
      </w:r>
      <w:r w:rsidR="002D3300" w:rsidRPr="00D21D8C">
        <w:rPr>
          <w:rFonts w:asciiTheme="majorBidi" w:hAnsiTheme="majorBidi" w:cstheme="majorBidi"/>
          <w:color w:val="000000"/>
          <w:szCs w:val="22"/>
          <w:u w:color="FFFFFF"/>
        </w:rPr>
        <w:t>7</w:t>
      </w:r>
      <w:r w:rsidRPr="00D21D8C">
        <w:rPr>
          <w:rFonts w:asciiTheme="majorBidi" w:hAnsiTheme="majorBidi" w:cstheme="majorBidi"/>
          <w:color w:val="000000"/>
          <w:szCs w:val="22"/>
          <w:u w:color="FFFFFF"/>
        </w:rPr>
        <w:t>%)</w:t>
      </w:r>
      <w:r w:rsidR="00980D7B" w:rsidRPr="00D21D8C">
        <w:rPr>
          <w:rFonts w:asciiTheme="majorBidi" w:hAnsiTheme="majorBidi" w:cstheme="majorBidi"/>
          <w:color w:val="000000"/>
          <w:szCs w:val="22"/>
          <w:u w:color="FFFFFF"/>
        </w:rPr>
        <w:t xml:space="preserve"> en longontsteking (9,0%)</w:t>
      </w:r>
      <w:r w:rsidRPr="00D21D8C">
        <w:rPr>
          <w:rFonts w:asciiTheme="majorBidi" w:hAnsiTheme="majorBidi" w:cstheme="majorBidi"/>
          <w:color w:val="000000"/>
          <w:szCs w:val="22"/>
          <w:u w:color="FFFFFF"/>
        </w:rPr>
        <w:t xml:space="preserve">. </w:t>
      </w:r>
    </w:p>
    <w:p w14:paraId="2F501426" w14:textId="77777777" w:rsidR="007461F6" w:rsidRPr="00D21D8C" w:rsidRDefault="007461F6">
      <w:pPr>
        <w:keepNext/>
        <w:spacing w:line="240" w:lineRule="auto"/>
        <w:rPr>
          <w:rFonts w:asciiTheme="majorBidi" w:hAnsiTheme="majorBidi" w:cstheme="majorBidi"/>
          <w:szCs w:val="22"/>
        </w:rPr>
      </w:pPr>
    </w:p>
    <w:p w14:paraId="2D92D619" w14:textId="4872C5A3" w:rsidR="001A274F" w:rsidRPr="00D21D8C" w:rsidRDefault="00DA418A">
      <w:pPr>
        <w:keepNext/>
        <w:spacing w:line="240" w:lineRule="auto"/>
        <w:rPr>
          <w:rFonts w:asciiTheme="majorBidi" w:hAnsiTheme="majorBidi" w:cstheme="majorBidi"/>
          <w:color w:val="000000"/>
          <w:szCs w:val="22"/>
          <w:u w:color="FFFFFF"/>
        </w:rPr>
      </w:pPr>
      <w:r w:rsidRPr="00D21D8C">
        <w:rPr>
          <w:rFonts w:asciiTheme="majorBidi" w:hAnsiTheme="majorBidi" w:cstheme="majorBidi"/>
          <w:color w:val="000000"/>
          <w:szCs w:val="22"/>
          <w:u w:color="FFFFFF"/>
        </w:rPr>
        <w:t xml:space="preserve">De frequentie van stopzetting van de behandeling vanwege bijwerkingen is </w:t>
      </w:r>
      <w:r w:rsidR="0033295C" w:rsidRPr="00D21D8C">
        <w:rPr>
          <w:rFonts w:asciiTheme="majorBidi" w:hAnsiTheme="majorBidi" w:cstheme="majorBidi"/>
          <w:color w:val="000000"/>
          <w:szCs w:val="22"/>
          <w:u w:color="FFFFFF"/>
        </w:rPr>
        <w:t>4</w:t>
      </w:r>
      <w:r w:rsidRPr="00D21D8C">
        <w:rPr>
          <w:rFonts w:asciiTheme="majorBidi" w:hAnsiTheme="majorBidi" w:cstheme="majorBidi"/>
          <w:color w:val="000000"/>
          <w:szCs w:val="22"/>
          <w:u w:color="FFFFFF"/>
        </w:rPr>
        <w:t xml:space="preserve">,2%, en de frequentie van dosisverlagingen als gevolg van bijwerkingen is </w:t>
      </w:r>
      <w:r w:rsidR="0033295C" w:rsidRPr="00D21D8C">
        <w:rPr>
          <w:rFonts w:asciiTheme="majorBidi" w:hAnsiTheme="majorBidi" w:cstheme="majorBidi"/>
          <w:color w:val="000000"/>
          <w:szCs w:val="22"/>
          <w:u w:color="FFFFFF"/>
        </w:rPr>
        <w:t>4</w:t>
      </w:r>
      <w:r w:rsidRPr="00D21D8C">
        <w:rPr>
          <w:rFonts w:asciiTheme="majorBidi" w:hAnsiTheme="majorBidi" w:cstheme="majorBidi"/>
          <w:color w:val="000000"/>
          <w:szCs w:val="22"/>
          <w:u w:color="FFFFFF"/>
        </w:rPr>
        <w:t>,</w:t>
      </w:r>
      <w:r w:rsidR="0033295C" w:rsidRPr="00D21D8C">
        <w:rPr>
          <w:rFonts w:asciiTheme="majorBidi" w:hAnsiTheme="majorBidi" w:cstheme="majorBidi"/>
          <w:color w:val="000000"/>
          <w:szCs w:val="22"/>
          <w:u w:color="FFFFFF"/>
        </w:rPr>
        <w:t>8</w:t>
      </w:r>
      <w:r w:rsidRPr="00D21D8C">
        <w:rPr>
          <w:rFonts w:asciiTheme="majorBidi" w:hAnsiTheme="majorBidi" w:cstheme="majorBidi"/>
          <w:color w:val="000000"/>
          <w:szCs w:val="22"/>
          <w:u w:color="FFFFFF"/>
        </w:rPr>
        <w:t xml:space="preserve">%. </w:t>
      </w:r>
    </w:p>
    <w:p w14:paraId="52D40BAC" w14:textId="77777777" w:rsidR="007461F6" w:rsidRPr="00D21D8C" w:rsidRDefault="007461F6">
      <w:pPr>
        <w:keepNext/>
        <w:spacing w:line="240" w:lineRule="auto"/>
        <w:rPr>
          <w:rFonts w:asciiTheme="majorBidi" w:hAnsiTheme="majorBidi" w:cstheme="majorBidi"/>
          <w:szCs w:val="22"/>
        </w:rPr>
      </w:pPr>
    </w:p>
    <w:p w14:paraId="3DD4BCCC" w14:textId="5EFC799D" w:rsidR="007461F6" w:rsidRPr="00D21D8C" w:rsidRDefault="00DA418A">
      <w:pPr>
        <w:keepNext/>
        <w:spacing w:line="240" w:lineRule="auto"/>
        <w:rPr>
          <w:rStyle w:val="normaltextrun"/>
          <w:rFonts w:asciiTheme="majorBidi" w:hAnsiTheme="majorBidi" w:cstheme="majorBidi"/>
          <w:color w:val="000000"/>
          <w:szCs w:val="22"/>
          <w:u w:color="FFFFFF"/>
          <w:shd w:val="clear" w:color="auto" w:fill="FFFFFF"/>
        </w:rPr>
      </w:pPr>
      <w:r w:rsidRPr="00D21D8C">
        <w:rPr>
          <w:rStyle w:val="normaltextrun"/>
          <w:rFonts w:asciiTheme="majorBidi" w:hAnsiTheme="majorBidi" w:cstheme="majorBidi"/>
          <w:color w:val="000000"/>
          <w:szCs w:val="22"/>
          <w:u w:color="FFFFFF"/>
          <w:shd w:val="clear" w:color="auto" w:fill="FFFFFF"/>
        </w:rPr>
        <w:t xml:space="preserve">De meest </w:t>
      </w:r>
      <w:r w:rsidR="008F6DD8" w:rsidRPr="00D21D8C">
        <w:rPr>
          <w:rFonts w:asciiTheme="majorBidi" w:hAnsiTheme="majorBidi" w:cstheme="majorBidi"/>
          <w:color w:val="000000"/>
          <w:szCs w:val="22"/>
          <w:u w:color="FFFFFF"/>
        </w:rPr>
        <w:t xml:space="preserve">gemelde </w:t>
      </w:r>
      <w:r w:rsidRPr="00D21D8C">
        <w:rPr>
          <w:rStyle w:val="normaltextrun"/>
          <w:rFonts w:asciiTheme="majorBidi" w:hAnsiTheme="majorBidi" w:cstheme="majorBidi"/>
          <w:color w:val="000000"/>
          <w:szCs w:val="22"/>
          <w:u w:color="FFFFFF"/>
          <w:shd w:val="clear" w:color="auto" w:fill="FFFFFF"/>
        </w:rPr>
        <w:t>bijwerkingen (gemeld bij meer dan 2</w:t>
      </w:r>
      <w:r w:rsidR="007B5425" w:rsidRPr="00D21D8C">
        <w:rPr>
          <w:rStyle w:val="normaltextrun"/>
          <w:rFonts w:asciiTheme="majorBidi" w:hAnsiTheme="majorBidi" w:cstheme="majorBidi"/>
          <w:color w:val="000000"/>
          <w:szCs w:val="22"/>
          <w:u w:color="FFFFFF"/>
          <w:shd w:val="clear" w:color="auto" w:fill="FFFFFF"/>
        </w:rPr>
        <w:t> </w:t>
      </w:r>
      <w:r w:rsidRPr="00D21D8C">
        <w:rPr>
          <w:rStyle w:val="normaltextrun"/>
          <w:rFonts w:asciiTheme="majorBidi" w:hAnsiTheme="majorBidi" w:cstheme="majorBidi"/>
          <w:color w:val="000000"/>
          <w:szCs w:val="22"/>
          <w:u w:color="FFFFFF"/>
          <w:shd w:val="clear" w:color="auto" w:fill="FFFFFF"/>
        </w:rPr>
        <w:t>patiënten) die resulteerden in verlaging van de dosis zijn neutropenie (</w:t>
      </w:r>
      <w:r w:rsidR="00A43461" w:rsidRPr="00D21D8C">
        <w:rPr>
          <w:rStyle w:val="normaltextrun"/>
          <w:rFonts w:asciiTheme="majorBidi" w:hAnsiTheme="majorBidi" w:cstheme="majorBidi"/>
          <w:color w:val="000000"/>
          <w:szCs w:val="22"/>
          <w:u w:color="FFFFFF"/>
          <w:shd w:val="clear" w:color="auto" w:fill="FFFFFF"/>
        </w:rPr>
        <w:t>2,5</w:t>
      </w:r>
      <w:r w:rsidRPr="00D21D8C">
        <w:rPr>
          <w:rStyle w:val="normaltextrun"/>
          <w:rFonts w:asciiTheme="majorBidi" w:hAnsiTheme="majorBidi" w:cstheme="majorBidi"/>
          <w:color w:val="000000"/>
          <w:szCs w:val="22"/>
          <w:u w:color="FFFFFF"/>
          <w:shd w:val="clear" w:color="auto" w:fill="FFFFFF"/>
        </w:rPr>
        <w:t xml:space="preserve">%), </w:t>
      </w:r>
      <w:r w:rsidR="00F319F4" w:rsidRPr="00D21D8C">
        <w:rPr>
          <w:rStyle w:val="normaltextrun"/>
          <w:rFonts w:asciiTheme="majorBidi" w:hAnsiTheme="majorBidi" w:cstheme="majorBidi"/>
          <w:color w:val="000000"/>
          <w:szCs w:val="22"/>
          <w:u w:color="FFFFFF"/>
          <w:shd w:val="clear" w:color="auto" w:fill="FFFFFF"/>
        </w:rPr>
        <w:t xml:space="preserve">rash </w:t>
      </w:r>
      <w:r w:rsidR="00A43461" w:rsidRPr="00D21D8C">
        <w:rPr>
          <w:rStyle w:val="normaltextrun"/>
          <w:rFonts w:asciiTheme="majorBidi" w:hAnsiTheme="majorBidi" w:cstheme="majorBidi"/>
          <w:color w:val="000000"/>
          <w:szCs w:val="22"/>
          <w:u w:color="FFFFFF"/>
          <w:shd w:val="clear" w:color="auto" w:fill="FFFFFF"/>
        </w:rPr>
        <w:t xml:space="preserve">(0,6%), </w:t>
      </w:r>
      <w:r w:rsidR="00A43461" w:rsidRPr="00D21D8C">
        <w:rPr>
          <w:rFonts w:asciiTheme="majorBidi" w:hAnsiTheme="majorBidi" w:cstheme="majorBidi"/>
          <w:color w:val="000000"/>
          <w:szCs w:val="22"/>
          <w:u w:color="FFFFFF"/>
        </w:rPr>
        <w:t>diarree (0,4%),</w:t>
      </w:r>
      <w:r w:rsidR="00A43461" w:rsidRPr="00D21D8C">
        <w:t xml:space="preserve"> </w:t>
      </w:r>
      <w:r w:rsidRPr="00D21D8C">
        <w:rPr>
          <w:rStyle w:val="normaltextrun"/>
          <w:rFonts w:asciiTheme="majorBidi" w:hAnsiTheme="majorBidi" w:cstheme="majorBidi"/>
          <w:color w:val="000000"/>
          <w:szCs w:val="22"/>
          <w:u w:color="FFFFFF"/>
          <w:shd w:val="clear" w:color="auto" w:fill="FFFFFF"/>
        </w:rPr>
        <w:t>vermoeidheid (0,4%)</w:t>
      </w:r>
      <w:r w:rsidR="00F319F4" w:rsidRPr="00D21D8C">
        <w:rPr>
          <w:rStyle w:val="normaltextrun"/>
          <w:rFonts w:asciiTheme="majorBidi" w:hAnsiTheme="majorBidi" w:cstheme="majorBidi"/>
          <w:color w:val="000000"/>
          <w:szCs w:val="22"/>
          <w:u w:color="FFFFFF"/>
          <w:shd w:val="clear" w:color="auto" w:fill="FFFFFF"/>
        </w:rPr>
        <w:t xml:space="preserve"> en </w:t>
      </w:r>
      <w:r w:rsidRPr="00D21D8C">
        <w:rPr>
          <w:rStyle w:val="normaltextrun"/>
          <w:rFonts w:asciiTheme="majorBidi" w:hAnsiTheme="majorBidi" w:cstheme="majorBidi"/>
          <w:color w:val="000000"/>
          <w:szCs w:val="22"/>
          <w:u w:color="FFFFFF"/>
          <w:shd w:val="clear" w:color="auto" w:fill="FFFFFF"/>
        </w:rPr>
        <w:t>trombocytopenie (0,</w:t>
      </w:r>
      <w:r w:rsidR="00F319F4" w:rsidRPr="00D21D8C">
        <w:rPr>
          <w:rStyle w:val="normaltextrun"/>
          <w:rFonts w:asciiTheme="majorBidi" w:hAnsiTheme="majorBidi" w:cstheme="majorBidi"/>
          <w:color w:val="000000"/>
          <w:szCs w:val="22"/>
          <w:u w:color="FFFFFF"/>
          <w:shd w:val="clear" w:color="auto" w:fill="FFFFFF"/>
        </w:rPr>
        <w:t>4</w:t>
      </w:r>
      <w:r w:rsidRPr="00D21D8C">
        <w:rPr>
          <w:rStyle w:val="normaltextrun"/>
          <w:rFonts w:asciiTheme="majorBidi" w:hAnsiTheme="majorBidi" w:cstheme="majorBidi"/>
          <w:color w:val="000000"/>
          <w:szCs w:val="22"/>
          <w:u w:color="FFFFFF"/>
          <w:shd w:val="clear" w:color="auto" w:fill="FFFFFF"/>
        </w:rPr>
        <w:t xml:space="preserve">%). </w:t>
      </w:r>
    </w:p>
    <w:p w14:paraId="752C3B58" w14:textId="58D6CBDF" w:rsidR="001A274F" w:rsidRPr="00D21D8C" w:rsidRDefault="00DA418A">
      <w:pPr>
        <w:keepNext/>
        <w:spacing w:line="240" w:lineRule="auto"/>
        <w:rPr>
          <w:rStyle w:val="normaltextrun"/>
          <w:rFonts w:asciiTheme="majorBidi" w:hAnsiTheme="majorBidi" w:cstheme="majorBidi"/>
          <w:color w:val="000000"/>
          <w:szCs w:val="22"/>
          <w:u w:color="FFFFFF"/>
          <w:shd w:val="clear" w:color="auto" w:fill="FFFFFF"/>
        </w:rPr>
      </w:pPr>
      <w:r w:rsidRPr="00D21D8C">
        <w:rPr>
          <w:rStyle w:val="normaltextrun"/>
          <w:rFonts w:asciiTheme="majorBidi" w:hAnsiTheme="majorBidi" w:cstheme="majorBidi"/>
          <w:color w:val="000000"/>
          <w:szCs w:val="22"/>
          <w:u w:color="FFFFFF"/>
          <w:shd w:val="clear" w:color="auto" w:fill="FFFFFF"/>
        </w:rPr>
        <w:t xml:space="preserve">De meest </w:t>
      </w:r>
      <w:r w:rsidR="008F6DD8" w:rsidRPr="00D21D8C">
        <w:rPr>
          <w:rFonts w:asciiTheme="majorBidi" w:hAnsiTheme="majorBidi" w:cstheme="majorBidi"/>
          <w:color w:val="000000"/>
          <w:szCs w:val="22"/>
          <w:u w:color="FFFFFF"/>
        </w:rPr>
        <w:t xml:space="preserve">gemelde </w:t>
      </w:r>
      <w:r w:rsidRPr="00D21D8C">
        <w:rPr>
          <w:rStyle w:val="normaltextrun"/>
          <w:rFonts w:asciiTheme="majorBidi" w:hAnsiTheme="majorBidi" w:cstheme="majorBidi"/>
          <w:color w:val="000000"/>
          <w:szCs w:val="22"/>
          <w:u w:color="FFFFFF"/>
          <w:shd w:val="clear" w:color="auto" w:fill="FFFFFF"/>
        </w:rPr>
        <w:t>bijwerkingen (gemeld bij meer dan 2</w:t>
      </w:r>
      <w:r w:rsidR="00351977" w:rsidRPr="00D21D8C">
        <w:rPr>
          <w:rStyle w:val="normaltextrun"/>
          <w:rFonts w:asciiTheme="majorBidi" w:hAnsiTheme="majorBidi" w:cstheme="majorBidi"/>
          <w:color w:val="000000"/>
          <w:szCs w:val="22"/>
          <w:u w:color="FFFFFF"/>
          <w:shd w:val="clear" w:color="auto" w:fill="FFFFFF"/>
        </w:rPr>
        <w:t> </w:t>
      </w:r>
      <w:r w:rsidRPr="00D21D8C">
        <w:rPr>
          <w:rStyle w:val="normaltextrun"/>
          <w:rFonts w:asciiTheme="majorBidi" w:hAnsiTheme="majorBidi" w:cstheme="majorBidi"/>
          <w:color w:val="000000"/>
          <w:szCs w:val="22"/>
          <w:u w:color="FFFFFF"/>
          <w:shd w:val="clear" w:color="auto" w:fill="FFFFFF"/>
        </w:rPr>
        <w:t>patiënten) die resulteerden in stopzetting van de dosis zijn neutropenie (</w:t>
      </w:r>
      <w:r w:rsidR="00CF7AE7" w:rsidRPr="00D21D8C">
        <w:rPr>
          <w:rStyle w:val="normaltextrun"/>
          <w:rFonts w:asciiTheme="majorBidi" w:hAnsiTheme="majorBidi" w:cstheme="majorBidi"/>
          <w:color w:val="000000"/>
          <w:szCs w:val="22"/>
          <w:u w:color="FFFFFF"/>
          <w:shd w:val="clear" w:color="auto" w:fill="FFFFFF"/>
        </w:rPr>
        <w:t>1</w:t>
      </w:r>
      <w:r w:rsidRPr="00D21D8C">
        <w:rPr>
          <w:rStyle w:val="normaltextrun"/>
          <w:rFonts w:asciiTheme="majorBidi" w:hAnsiTheme="majorBidi" w:cstheme="majorBidi"/>
          <w:color w:val="000000"/>
          <w:szCs w:val="22"/>
          <w:u w:color="FFFFFF"/>
          <w:shd w:val="clear" w:color="auto" w:fill="FFFFFF"/>
        </w:rPr>
        <w:t>,</w:t>
      </w:r>
      <w:r w:rsidR="00CF7AE7" w:rsidRPr="00D21D8C">
        <w:rPr>
          <w:rStyle w:val="normaltextrun"/>
          <w:rFonts w:asciiTheme="majorBidi" w:hAnsiTheme="majorBidi" w:cstheme="majorBidi"/>
          <w:color w:val="000000"/>
          <w:szCs w:val="22"/>
          <w:u w:color="FFFFFF"/>
          <w:shd w:val="clear" w:color="auto" w:fill="FFFFFF"/>
        </w:rPr>
        <w:t>0</w:t>
      </w:r>
      <w:r w:rsidRPr="00D21D8C">
        <w:rPr>
          <w:rStyle w:val="normaltextrun"/>
          <w:rFonts w:asciiTheme="majorBidi" w:hAnsiTheme="majorBidi" w:cstheme="majorBidi"/>
          <w:color w:val="000000"/>
          <w:szCs w:val="22"/>
          <w:u w:color="FFFFFF"/>
          <w:shd w:val="clear" w:color="auto" w:fill="FFFFFF"/>
        </w:rPr>
        <w:t>%)</w:t>
      </w:r>
      <w:r w:rsidR="00CF7AE7" w:rsidRPr="00D21D8C">
        <w:rPr>
          <w:rStyle w:val="normaltextrun"/>
          <w:rFonts w:asciiTheme="majorBidi" w:hAnsiTheme="majorBidi" w:cstheme="majorBidi"/>
          <w:color w:val="000000"/>
          <w:szCs w:val="22"/>
          <w:u w:color="FFFFFF"/>
          <w:shd w:val="clear" w:color="auto" w:fill="FFFFFF"/>
        </w:rPr>
        <w:t xml:space="preserve">, </w:t>
      </w:r>
      <w:r w:rsidR="00CF7AE7" w:rsidRPr="00D21D8C">
        <w:rPr>
          <w:rFonts w:asciiTheme="majorBidi" w:hAnsiTheme="majorBidi" w:cstheme="majorBidi"/>
          <w:color w:val="000000"/>
          <w:szCs w:val="22"/>
          <w:u w:color="FFFFFF"/>
        </w:rPr>
        <w:t>anemie (1,0%)</w:t>
      </w:r>
      <w:r w:rsidR="0022206E" w:rsidRPr="00D21D8C">
        <w:rPr>
          <w:rFonts w:asciiTheme="majorBidi" w:hAnsiTheme="majorBidi" w:cstheme="majorBidi"/>
          <w:color w:val="000000"/>
          <w:szCs w:val="22"/>
          <w:u w:color="FFFFFF"/>
        </w:rPr>
        <w:t>,</w:t>
      </w:r>
      <w:r w:rsidRPr="00D21D8C">
        <w:rPr>
          <w:rStyle w:val="normaltextrun"/>
          <w:rFonts w:asciiTheme="majorBidi" w:hAnsiTheme="majorBidi" w:cstheme="majorBidi"/>
          <w:color w:val="000000"/>
          <w:szCs w:val="22"/>
          <w:u w:color="FFFFFF"/>
          <w:shd w:val="clear" w:color="auto" w:fill="FFFFFF"/>
        </w:rPr>
        <w:t xml:space="preserve"> </w:t>
      </w:r>
      <w:r w:rsidR="00351977" w:rsidRPr="00D21D8C">
        <w:rPr>
          <w:rStyle w:val="normaltextrun"/>
          <w:rFonts w:asciiTheme="majorBidi" w:hAnsiTheme="majorBidi" w:cstheme="majorBidi"/>
          <w:color w:val="000000"/>
          <w:szCs w:val="22"/>
          <w:u w:color="FFFFFF"/>
          <w:shd w:val="clear" w:color="auto" w:fill="FFFFFF"/>
        </w:rPr>
        <w:t>longontsteking</w:t>
      </w:r>
      <w:r w:rsidRPr="00D21D8C">
        <w:rPr>
          <w:rStyle w:val="normaltextrun"/>
          <w:rFonts w:asciiTheme="majorBidi" w:hAnsiTheme="majorBidi" w:cstheme="majorBidi"/>
          <w:color w:val="000000"/>
          <w:szCs w:val="22"/>
          <w:u w:color="FFFFFF"/>
          <w:shd w:val="clear" w:color="auto" w:fill="FFFFFF"/>
        </w:rPr>
        <w:t xml:space="preserve"> (0,</w:t>
      </w:r>
      <w:r w:rsidR="0022206E" w:rsidRPr="00D21D8C">
        <w:rPr>
          <w:rStyle w:val="normaltextrun"/>
          <w:rFonts w:asciiTheme="majorBidi" w:hAnsiTheme="majorBidi" w:cstheme="majorBidi"/>
          <w:color w:val="000000"/>
          <w:szCs w:val="22"/>
          <w:u w:color="FFFFFF"/>
          <w:shd w:val="clear" w:color="auto" w:fill="FFFFFF"/>
        </w:rPr>
        <w:t>9</w:t>
      </w:r>
      <w:r w:rsidRPr="00D21D8C">
        <w:rPr>
          <w:rStyle w:val="normaltextrun"/>
          <w:rFonts w:asciiTheme="majorBidi" w:hAnsiTheme="majorBidi" w:cstheme="majorBidi"/>
          <w:color w:val="000000"/>
          <w:szCs w:val="22"/>
          <w:u w:color="FFFFFF"/>
          <w:shd w:val="clear" w:color="auto" w:fill="FFFFFF"/>
        </w:rPr>
        <w:t>%)</w:t>
      </w:r>
      <w:r w:rsidR="0022206E" w:rsidRPr="00D21D8C">
        <w:rPr>
          <w:rStyle w:val="normaltextrun"/>
          <w:rFonts w:asciiTheme="majorBidi" w:hAnsiTheme="majorBidi" w:cstheme="majorBidi"/>
          <w:color w:val="000000"/>
          <w:szCs w:val="22"/>
          <w:u w:color="FFFFFF"/>
          <w:shd w:val="clear" w:color="auto" w:fill="FFFFFF"/>
        </w:rPr>
        <w:t>, trombocytopenie (0,7%) en rash (0,4%)</w:t>
      </w:r>
      <w:r w:rsidRPr="00D21D8C">
        <w:rPr>
          <w:rStyle w:val="normaltextrun"/>
          <w:rFonts w:asciiTheme="majorBidi" w:hAnsiTheme="majorBidi" w:cstheme="majorBidi"/>
          <w:color w:val="000000"/>
          <w:szCs w:val="22"/>
          <w:u w:color="FFFFFF"/>
          <w:shd w:val="clear" w:color="auto" w:fill="FFFFFF"/>
        </w:rPr>
        <w:t>.</w:t>
      </w:r>
    </w:p>
    <w:p w14:paraId="34C4BC8E" w14:textId="77777777" w:rsidR="007461F6" w:rsidRPr="00D21D8C" w:rsidRDefault="007461F6">
      <w:pPr>
        <w:keepNext/>
        <w:spacing w:line="240" w:lineRule="auto"/>
        <w:rPr>
          <w:rStyle w:val="normaltextrun"/>
          <w:rFonts w:asciiTheme="majorBidi" w:hAnsiTheme="majorBidi" w:cstheme="majorBidi"/>
          <w:szCs w:val="22"/>
        </w:rPr>
      </w:pPr>
    </w:p>
    <w:p w14:paraId="3CED9D00" w14:textId="02645B85" w:rsidR="001A274F" w:rsidRPr="00D21D8C" w:rsidRDefault="00DA418A">
      <w:pPr>
        <w:keepNext/>
        <w:spacing w:line="240" w:lineRule="auto"/>
        <w:rPr>
          <w:rFonts w:asciiTheme="majorBidi" w:hAnsiTheme="majorBidi" w:cstheme="majorBidi"/>
          <w:color w:val="000000"/>
          <w:szCs w:val="22"/>
          <w:u w:color="FFFFFF"/>
        </w:rPr>
      </w:pPr>
      <w:r w:rsidRPr="00D21D8C">
        <w:rPr>
          <w:rFonts w:asciiTheme="majorBidi" w:hAnsiTheme="majorBidi" w:cstheme="majorBidi"/>
          <w:color w:val="000000"/>
          <w:szCs w:val="22"/>
          <w:u w:color="FFFFFF"/>
        </w:rPr>
        <w:t xml:space="preserve">Ernstige bijwerkingen </w:t>
      </w:r>
      <w:r w:rsidR="002B1D4B" w:rsidRPr="00D21D8C">
        <w:rPr>
          <w:rFonts w:asciiTheme="majorBidi" w:hAnsiTheme="majorBidi" w:cstheme="majorBidi"/>
          <w:color w:val="000000"/>
          <w:szCs w:val="22"/>
          <w:u w:color="FFFFFF"/>
        </w:rPr>
        <w:t>geassocieerd</w:t>
      </w:r>
      <w:r w:rsidRPr="00D21D8C">
        <w:rPr>
          <w:rFonts w:asciiTheme="majorBidi" w:hAnsiTheme="majorBidi" w:cstheme="majorBidi"/>
          <w:color w:val="000000"/>
          <w:szCs w:val="22"/>
          <w:u w:color="FFFFFF"/>
        </w:rPr>
        <w:t xml:space="preserve"> met Jaypirca </w:t>
      </w:r>
      <w:r w:rsidR="002B1D4B" w:rsidRPr="00D21D8C">
        <w:rPr>
          <w:rFonts w:asciiTheme="majorBidi" w:hAnsiTheme="majorBidi" w:cstheme="majorBidi"/>
          <w:color w:val="000000"/>
          <w:szCs w:val="22"/>
          <w:u w:color="FFFFFF"/>
        </w:rPr>
        <w:t>kwamen voor</w:t>
      </w:r>
      <w:r w:rsidRPr="00D21D8C">
        <w:rPr>
          <w:rFonts w:asciiTheme="majorBidi" w:hAnsiTheme="majorBidi" w:cstheme="majorBidi"/>
          <w:color w:val="000000"/>
          <w:szCs w:val="22"/>
          <w:u w:color="FFFFFF"/>
        </w:rPr>
        <w:t xml:space="preserve"> bij 1</w:t>
      </w:r>
      <w:r w:rsidR="000603B8" w:rsidRPr="00D21D8C">
        <w:rPr>
          <w:rFonts w:asciiTheme="majorBidi" w:hAnsiTheme="majorBidi" w:cstheme="majorBidi"/>
          <w:color w:val="000000"/>
          <w:szCs w:val="22"/>
          <w:u w:color="FFFFFF"/>
        </w:rPr>
        <w:t>9</w:t>
      </w:r>
      <w:r w:rsidRPr="00D21D8C">
        <w:rPr>
          <w:rFonts w:asciiTheme="majorBidi" w:hAnsiTheme="majorBidi" w:cstheme="majorBidi"/>
          <w:color w:val="000000"/>
          <w:szCs w:val="22"/>
          <w:u w:color="FFFFFF"/>
        </w:rPr>
        <w:t>,</w:t>
      </w:r>
      <w:r w:rsidR="000603B8" w:rsidRPr="00D21D8C">
        <w:rPr>
          <w:rFonts w:asciiTheme="majorBidi" w:hAnsiTheme="majorBidi" w:cstheme="majorBidi"/>
          <w:color w:val="000000"/>
          <w:szCs w:val="22"/>
          <w:u w:color="FFFFFF"/>
        </w:rPr>
        <w:t>4</w:t>
      </w:r>
      <w:r w:rsidRPr="00D21D8C">
        <w:rPr>
          <w:rFonts w:asciiTheme="majorBidi" w:hAnsiTheme="majorBidi" w:cstheme="majorBidi"/>
          <w:color w:val="000000"/>
          <w:szCs w:val="22"/>
          <w:u w:color="FFFFFF"/>
        </w:rPr>
        <w:t>% van de patiënten</w:t>
      </w:r>
      <w:r w:rsidR="002B1D4B" w:rsidRPr="00D21D8C">
        <w:rPr>
          <w:rFonts w:asciiTheme="majorBidi" w:hAnsiTheme="majorBidi" w:cstheme="majorBidi"/>
          <w:color w:val="000000"/>
          <w:szCs w:val="22"/>
          <w:u w:color="FFFFFF"/>
        </w:rPr>
        <w:t xml:space="preserve"> en</w:t>
      </w:r>
      <w:r w:rsidRPr="00D21D8C">
        <w:rPr>
          <w:rFonts w:asciiTheme="majorBidi" w:hAnsiTheme="majorBidi" w:cstheme="majorBidi"/>
          <w:color w:val="000000"/>
          <w:szCs w:val="22"/>
          <w:u w:color="FFFFFF"/>
        </w:rPr>
        <w:t xml:space="preserve"> de meest </w:t>
      </w:r>
      <w:r w:rsidR="008F6DD8" w:rsidRPr="00D21D8C">
        <w:rPr>
          <w:rFonts w:asciiTheme="majorBidi" w:hAnsiTheme="majorBidi" w:cstheme="majorBidi"/>
          <w:color w:val="000000"/>
          <w:szCs w:val="22"/>
          <w:u w:color="FFFFFF"/>
        </w:rPr>
        <w:t xml:space="preserve">gemelde </w:t>
      </w:r>
      <w:r w:rsidRPr="00D21D8C">
        <w:rPr>
          <w:rFonts w:asciiTheme="majorBidi" w:hAnsiTheme="majorBidi" w:cstheme="majorBidi"/>
          <w:color w:val="000000"/>
          <w:szCs w:val="22"/>
          <w:u w:color="FFFFFF"/>
        </w:rPr>
        <w:t>ernstige bijwerkingen (</w:t>
      </w:r>
      <w:r w:rsidR="002B1D4B" w:rsidRPr="00D21D8C">
        <w:rPr>
          <w:rFonts w:asciiTheme="majorBidi" w:hAnsiTheme="majorBidi" w:cstheme="majorBidi"/>
          <w:color w:val="000000"/>
          <w:szCs w:val="22"/>
          <w:u w:color="FFFFFF"/>
        </w:rPr>
        <w:t>die</w:t>
      </w:r>
      <w:r w:rsidRPr="00D21D8C">
        <w:rPr>
          <w:rFonts w:asciiTheme="majorBidi" w:hAnsiTheme="majorBidi" w:cstheme="majorBidi"/>
          <w:color w:val="000000"/>
          <w:szCs w:val="22"/>
          <w:u w:color="FFFFFF"/>
        </w:rPr>
        <w:t xml:space="preserve"> </w:t>
      </w:r>
      <w:r w:rsidR="00351977" w:rsidRPr="00D21D8C">
        <w:rPr>
          <w:rFonts w:asciiTheme="majorBidi" w:hAnsiTheme="majorBidi" w:cstheme="majorBidi"/>
          <w:color w:val="000000"/>
          <w:szCs w:val="22"/>
          <w:u w:color="FFFFFF"/>
        </w:rPr>
        <w:t xml:space="preserve">optraden </w:t>
      </w:r>
      <w:r w:rsidRPr="00D21D8C">
        <w:rPr>
          <w:rFonts w:asciiTheme="majorBidi" w:hAnsiTheme="majorBidi" w:cstheme="majorBidi"/>
          <w:color w:val="000000"/>
          <w:szCs w:val="22"/>
          <w:u w:color="FFFFFF"/>
        </w:rPr>
        <w:t>bij ≥ 1% van de patiënten) waren longontsteking (</w:t>
      </w:r>
      <w:r w:rsidR="000603B8" w:rsidRPr="00D21D8C">
        <w:rPr>
          <w:rFonts w:asciiTheme="majorBidi" w:hAnsiTheme="majorBidi" w:cstheme="majorBidi"/>
          <w:color w:val="000000"/>
          <w:szCs w:val="22"/>
          <w:u w:color="FFFFFF"/>
        </w:rPr>
        <w:t>8,0</w:t>
      </w:r>
      <w:r w:rsidRPr="00D21D8C">
        <w:rPr>
          <w:rFonts w:asciiTheme="majorBidi" w:hAnsiTheme="majorBidi" w:cstheme="majorBidi"/>
          <w:color w:val="000000"/>
          <w:szCs w:val="22"/>
          <w:u w:color="FFFFFF"/>
        </w:rPr>
        <w:t>%), neutropenie (</w:t>
      </w:r>
      <w:r w:rsidR="000603B8" w:rsidRPr="00D21D8C">
        <w:rPr>
          <w:rFonts w:asciiTheme="majorBidi" w:hAnsiTheme="majorBidi" w:cstheme="majorBidi"/>
          <w:color w:val="000000"/>
          <w:szCs w:val="22"/>
          <w:u w:color="FFFFFF"/>
        </w:rPr>
        <w:t>3,2</w:t>
      </w:r>
      <w:r w:rsidRPr="00D21D8C">
        <w:rPr>
          <w:rFonts w:asciiTheme="majorBidi" w:hAnsiTheme="majorBidi" w:cstheme="majorBidi"/>
          <w:color w:val="000000"/>
          <w:szCs w:val="22"/>
          <w:u w:color="FFFFFF"/>
        </w:rPr>
        <w:t>%), anemie (</w:t>
      </w:r>
      <w:r w:rsidR="000603B8" w:rsidRPr="00D21D8C">
        <w:rPr>
          <w:rFonts w:asciiTheme="majorBidi" w:hAnsiTheme="majorBidi" w:cstheme="majorBidi"/>
          <w:color w:val="000000"/>
          <w:szCs w:val="22"/>
          <w:u w:color="FFFFFF"/>
        </w:rPr>
        <w:t>2,6</w:t>
      </w:r>
      <w:r w:rsidRPr="00D21D8C">
        <w:rPr>
          <w:rFonts w:asciiTheme="majorBidi" w:hAnsiTheme="majorBidi" w:cstheme="majorBidi"/>
          <w:color w:val="000000"/>
          <w:szCs w:val="22"/>
          <w:u w:color="FFFFFF"/>
        </w:rPr>
        <w:t>%)</w:t>
      </w:r>
      <w:r w:rsidR="00D47F42" w:rsidRPr="00D21D8C">
        <w:rPr>
          <w:rFonts w:asciiTheme="majorBidi" w:hAnsiTheme="majorBidi" w:cstheme="majorBidi"/>
          <w:color w:val="000000"/>
          <w:szCs w:val="22"/>
          <w:u w:color="FFFFFF"/>
        </w:rPr>
        <w:t>,</w:t>
      </w:r>
      <w:r w:rsidRPr="00D21D8C">
        <w:rPr>
          <w:rFonts w:asciiTheme="majorBidi" w:hAnsiTheme="majorBidi" w:cstheme="majorBidi"/>
          <w:color w:val="000000"/>
          <w:szCs w:val="22"/>
          <w:u w:color="FFFFFF"/>
        </w:rPr>
        <w:t xml:space="preserve"> </w:t>
      </w:r>
      <w:r w:rsidR="00BA0140" w:rsidRPr="00D21D8C">
        <w:rPr>
          <w:rFonts w:asciiTheme="majorBidi" w:hAnsiTheme="majorBidi" w:cstheme="majorBidi"/>
          <w:color w:val="000000"/>
          <w:szCs w:val="22"/>
          <w:u w:color="FFFFFF"/>
        </w:rPr>
        <w:t xml:space="preserve">atriumfibrilleren/atriumflutter </w:t>
      </w:r>
      <w:r w:rsidR="00D47F42" w:rsidRPr="00D21D8C">
        <w:rPr>
          <w:rFonts w:asciiTheme="majorBidi" w:hAnsiTheme="majorBidi" w:cstheme="majorBidi"/>
          <w:color w:val="000000"/>
          <w:szCs w:val="22"/>
          <w:u w:color="FFFFFF"/>
        </w:rPr>
        <w:t xml:space="preserve">(1,3%) </w:t>
      </w:r>
      <w:r w:rsidRPr="00D21D8C">
        <w:rPr>
          <w:rFonts w:asciiTheme="majorBidi" w:hAnsiTheme="majorBidi" w:cstheme="majorBidi"/>
          <w:color w:val="000000"/>
          <w:szCs w:val="22"/>
          <w:u w:color="FFFFFF"/>
        </w:rPr>
        <w:t>en urineweginfectie (1,0%).</w:t>
      </w:r>
    </w:p>
    <w:p w14:paraId="1F2C767F" w14:textId="77777777" w:rsidR="007461F6" w:rsidRPr="00D21D8C" w:rsidRDefault="007461F6">
      <w:pPr>
        <w:keepNext/>
        <w:spacing w:line="240" w:lineRule="auto"/>
        <w:rPr>
          <w:rStyle w:val="normaltextrun"/>
          <w:rFonts w:asciiTheme="majorBidi" w:hAnsiTheme="majorBidi" w:cstheme="majorBidi"/>
          <w:szCs w:val="22"/>
        </w:rPr>
      </w:pPr>
    </w:p>
    <w:p w14:paraId="02ACD090" w14:textId="5E95E1B4" w:rsidR="001A274F" w:rsidRPr="00D21D8C" w:rsidRDefault="00DA418A">
      <w:pPr>
        <w:keepNext/>
        <w:spacing w:line="240" w:lineRule="auto"/>
        <w:rPr>
          <w:rStyle w:val="normaltextrun"/>
          <w:rFonts w:asciiTheme="majorBidi" w:hAnsiTheme="majorBidi" w:cstheme="majorBidi"/>
          <w:szCs w:val="22"/>
        </w:rPr>
      </w:pPr>
      <w:r w:rsidRPr="00D21D8C">
        <w:rPr>
          <w:rStyle w:val="normaltextrun"/>
          <w:rFonts w:asciiTheme="majorBidi" w:hAnsiTheme="majorBidi" w:cstheme="majorBidi"/>
          <w:color w:val="000000"/>
          <w:szCs w:val="22"/>
          <w:u w:color="FFFFFF"/>
          <w:shd w:val="clear" w:color="auto" w:fill="FFFFFF"/>
        </w:rPr>
        <w:t xml:space="preserve">Bijwerkingen met fatale afloop </w:t>
      </w:r>
      <w:r w:rsidR="00351977" w:rsidRPr="00D21D8C">
        <w:rPr>
          <w:rStyle w:val="normaltextrun"/>
          <w:rFonts w:asciiTheme="majorBidi" w:hAnsiTheme="majorBidi" w:cstheme="majorBidi"/>
          <w:color w:val="000000"/>
          <w:szCs w:val="22"/>
          <w:u w:color="FFFFFF"/>
          <w:shd w:val="clear" w:color="auto" w:fill="FFFFFF"/>
        </w:rPr>
        <w:t>zijn</w:t>
      </w:r>
      <w:r w:rsidRPr="00D21D8C">
        <w:rPr>
          <w:rStyle w:val="normaltextrun"/>
          <w:rFonts w:asciiTheme="majorBidi" w:hAnsiTheme="majorBidi" w:cstheme="majorBidi"/>
          <w:color w:val="000000"/>
          <w:szCs w:val="22"/>
          <w:u w:color="FFFFFF"/>
          <w:shd w:val="clear" w:color="auto" w:fill="FFFFFF"/>
        </w:rPr>
        <w:t xml:space="preserve"> waargenomen bij 0,</w:t>
      </w:r>
      <w:r w:rsidR="00F25F62" w:rsidRPr="00D21D8C">
        <w:rPr>
          <w:rStyle w:val="normaltextrun"/>
          <w:rFonts w:asciiTheme="majorBidi" w:hAnsiTheme="majorBidi" w:cstheme="majorBidi"/>
          <w:color w:val="000000"/>
          <w:szCs w:val="22"/>
          <w:u w:color="FFFFFF"/>
          <w:shd w:val="clear" w:color="auto" w:fill="FFFFFF"/>
        </w:rPr>
        <w:t>4</w:t>
      </w:r>
      <w:r w:rsidRPr="00D21D8C">
        <w:rPr>
          <w:rStyle w:val="normaltextrun"/>
          <w:rFonts w:asciiTheme="majorBidi" w:hAnsiTheme="majorBidi" w:cstheme="majorBidi"/>
          <w:color w:val="000000"/>
          <w:szCs w:val="22"/>
          <w:u w:color="FFFFFF"/>
          <w:shd w:val="clear" w:color="auto" w:fill="FFFFFF"/>
        </w:rPr>
        <w:t>% van de patiënten (</w:t>
      </w:r>
      <w:r w:rsidR="00F25F62" w:rsidRPr="00D21D8C">
        <w:rPr>
          <w:rStyle w:val="normaltextrun"/>
          <w:rFonts w:asciiTheme="majorBidi" w:hAnsiTheme="majorBidi" w:cstheme="majorBidi"/>
          <w:color w:val="000000"/>
          <w:szCs w:val="22"/>
          <w:u w:color="FFFFFF"/>
          <w:shd w:val="clear" w:color="auto" w:fill="FFFFFF"/>
        </w:rPr>
        <w:t>3</w:t>
      </w:r>
      <w:r w:rsidR="00351977" w:rsidRPr="00D21D8C">
        <w:rPr>
          <w:rStyle w:val="normaltextrun"/>
          <w:rFonts w:asciiTheme="majorBidi" w:hAnsiTheme="majorBidi" w:cstheme="majorBidi"/>
          <w:color w:val="000000"/>
          <w:szCs w:val="22"/>
          <w:u w:color="FFFFFF"/>
          <w:shd w:val="clear" w:color="auto" w:fill="FFFFFF"/>
        </w:rPr>
        <w:t> </w:t>
      </w:r>
      <w:r w:rsidRPr="00D21D8C">
        <w:rPr>
          <w:rStyle w:val="normaltextrun"/>
          <w:rFonts w:asciiTheme="majorBidi" w:hAnsiTheme="majorBidi" w:cstheme="majorBidi"/>
          <w:color w:val="000000"/>
          <w:szCs w:val="22"/>
          <w:u w:color="FFFFFF"/>
          <w:shd w:val="clear" w:color="auto" w:fill="FFFFFF"/>
        </w:rPr>
        <w:t xml:space="preserve">patiënten) </w:t>
      </w:r>
      <w:r w:rsidR="00FB370D" w:rsidRPr="00D21D8C">
        <w:rPr>
          <w:rStyle w:val="normaltextrun"/>
          <w:rFonts w:asciiTheme="majorBidi" w:hAnsiTheme="majorBidi" w:cstheme="majorBidi"/>
          <w:color w:val="000000"/>
          <w:szCs w:val="22"/>
          <w:u w:color="FFFFFF"/>
          <w:shd w:val="clear" w:color="auto" w:fill="FFFFFF"/>
        </w:rPr>
        <w:t>v</w:t>
      </w:r>
      <w:r w:rsidRPr="00D21D8C">
        <w:rPr>
          <w:rStyle w:val="normaltextrun"/>
          <w:rFonts w:asciiTheme="majorBidi" w:hAnsiTheme="majorBidi" w:cstheme="majorBidi"/>
          <w:color w:val="000000"/>
          <w:szCs w:val="22"/>
          <w:u w:color="FFFFFF"/>
          <w:shd w:val="clear" w:color="auto" w:fill="FFFFFF"/>
        </w:rPr>
        <w:t xml:space="preserve">oor </w:t>
      </w:r>
      <w:r w:rsidR="002B1D4B" w:rsidRPr="00D21D8C">
        <w:rPr>
          <w:rStyle w:val="normaltextrun"/>
          <w:rFonts w:asciiTheme="majorBidi" w:hAnsiTheme="majorBidi" w:cstheme="majorBidi"/>
          <w:color w:val="000000"/>
          <w:szCs w:val="22"/>
          <w:u w:color="FFFFFF"/>
          <w:shd w:val="clear" w:color="auto" w:fill="FFFFFF"/>
        </w:rPr>
        <w:t>longontsteking</w:t>
      </w:r>
      <w:r w:rsidR="00E76404" w:rsidRPr="00D21D8C">
        <w:rPr>
          <w:rStyle w:val="normaltextrun"/>
          <w:rFonts w:asciiTheme="majorBidi" w:hAnsiTheme="majorBidi" w:cstheme="majorBidi"/>
          <w:color w:val="000000"/>
          <w:szCs w:val="22"/>
          <w:u w:color="FFFFFF"/>
          <w:shd w:val="clear" w:color="auto" w:fill="FFFFFF"/>
        </w:rPr>
        <w:t xml:space="preserve">, bij 0,3% van de patiënten (2 patiënten) </w:t>
      </w:r>
      <w:r w:rsidR="00FB370D" w:rsidRPr="00D21D8C">
        <w:rPr>
          <w:rStyle w:val="normaltextrun"/>
          <w:rFonts w:asciiTheme="majorBidi" w:hAnsiTheme="majorBidi" w:cstheme="majorBidi"/>
          <w:color w:val="000000"/>
          <w:szCs w:val="22"/>
          <w:u w:color="FFFFFF"/>
          <w:shd w:val="clear" w:color="auto" w:fill="FFFFFF"/>
        </w:rPr>
        <w:t>v</w:t>
      </w:r>
      <w:r w:rsidR="00E76404" w:rsidRPr="00D21D8C">
        <w:rPr>
          <w:rStyle w:val="normaltextrun"/>
          <w:rFonts w:asciiTheme="majorBidi" w:hAnsiTheme="majorBidi" w:cstheme="majorBidi"/>
          <w:color w:val="000000"/>
          <w:szCs w:val="22"/>
          <w:u w:color="FFFFFF"/>
          <w:shd w:val="clear" w:color="auto" w:fill="FFFFFF"/>
        </w:rPr>
        <w:t>oor bloedingen</w:t>
      </w:r>
      <w:r w:rsidR="0067670C" w:rsidRPr="00D21D8C">
        <w:rPr>
          <w:rStyle w:val="normaltextrun"/>
          <w:rFonts w:asciiTheme="majorBidi" w:hAnsiTheme="majorBidi" w:cstheme="majorBidi"/>
          <w:color w:val="000000"/>
          <w:szCs w:val="22"/>
          <w:u w:color="FFFFFF"/>
          <w:shd w:val="clear" w:color="auto" w:fill="FFFFFF"/>
        </w:rPr>
        <w:t xml:space="preserve"> </w:t>
      </w:r>
      <w:r w:rsidRPr="00D21D8C">
        <w:rPr>
          <w:rStyle w:val="normaltextrun"/>
          <w:rFonts w:asciiTheme="majorBidi" w:hAnsiTheme="majorBidi" w:cstheme="majorBidi"/>
          <w:color w:val="000000"/>
          <w:szCs w:val="22"/>
          <w:u w:color="FFFFFF"/>
          <w:shd w:val="clear" w:color="auto" w:fill="FFFFFF"/>
        </w:rPr>
        <w:t>en bij 0,1% van de patiënten (1</w:t>
      </w:r>
      <w:r w:rsidR="00351977" w:rsidRPr="00D21D8C">
        <w:rPr>
          <w:rStyle w:val="normaltextrun"/>
          <w:rFonts w:asciiTheme="majorBidi" w:hAnsiTheme="majorBidi" w:cstheme="majorBidi"/>
          <w:color w:val="000000"/>
          <w:szCs w:val="22"/>
          <w:u w:color="FFFFFF"/>
          <w:shd w:val="clear" w:color="auto" w:fill="FFFFFF"/>
        </w:rPr>
        <w:t> </w:t>
      </w:r>
      <w:r w:rsidRPr="00D21D8C">
        <w:rPr>
          <w:rStyle w:val="normaltextrun"/>
          <w:rFonts w:asciiTheme="majorBidi" w:hAnsiTheme="majorBidi" w:cstheme="majorBidi"/>
          <w:color w:val="000000"/>
          <w:szCs w:val="22"/>
          <w:u w:color="FFFFFF"/>
          <w:shd w:val="clear" w:color="auto" w:fill="FFFFFF"/>
        </w:rPr>
        <w:t xml:space="preserve">patiënt) </w:t>
      </w:r>
      <w:r w:rsidR="00FB370D" w:rsidRPr="00D21D8C">
        <w:rPr>
          <w:rStyle w:val="normaltextrun"/>
          <w:rFonts w:asciiTheme="majorBidi" w:hAnsiTheme="majorBidi" w:cstheme="majorBidi"/>
          <w:color w:val="000000"/>
          <w:szCs w:val="22"/>
          <w:u w:color="FFFFFF"/>
          <w:shd w:val="clear" w:color="auto" w:fill="FFFFFF"/>
        </w:rPr>
        <w:t>v</w:t>
      </w:r>
      <w:r w:rsidRPr="00D21D8C">
        <w:rPr>
          <w:rStyle w:val="normaltextrun"/>
          <w:rFonts w:asciiTheme="majorBidi" w:hAnsiTheme="majorBidi" w:cstheme="majorBidi"/>
          <w:color w:val="000000"/>
          <w:szCs w:val="22"/>
          <w:u w:color="FFFFFF"/>
          <w:shd w:val="clear" w:color="auto" w:fill="FFFFFF"/>
        </w:rPr>
        <w:t xml:space="preserve">oor </w:t>
      </w:r>
      <w:r w:rsidR="00225897" w:rsidRPr="00D21D8C">
        <w:rPr>
          <w:rFonts w:asciiTheme="majorBidi" w:hAnsiTheme="majorBidi" w:cstheme="majorBidi"/>
          <w:color w:val="000000"/>
          <w:szCs w:val="22"/>
          <w:u w:color="FFFFFF"/>
        </w:rPr>
        <w:t>urineweginfectie</w:t>
      </w:r>
      <w:r w:rsidRPr="00D21D8C">
        <w:rPr>
          <w:rStyle w:val="normaltextrun"/>
          <w:rFonts w:asciiTheme="majorBidi" w:hAnsiTheme="majorBidi" w:cstheme="majorBidi"/>
          <w:color w:val="000000"/>
          <w:szCs w:val="22"/>
          <w:u w:color="FFFFFF"/>
          <w:shd w:val="clear" w:color="auto" w:fill="FFFFFF"/>
        </w:rPr>
        <w:t>.</w:t>
      </w:r>
    </w:p>
    <w:p w14:paraId="3AC9C355" w14:textId="77777777" w:rsidR="001A274F" w:rsidRPr="00D21D8C" w:rsidRDefault="001A274F">
      <w:pPr>
        <w:spacing w:line="240" w:lineRule="auto"/>
        <w:jc w:val="both"/>
        <w:rPr>
          <w:rFonts w:asciiTheme="majorBidi" w:hAnsiTheme="majorBidi" w:cstheme="majorBidi"/>
          <w:iCs/>
          <w:szCs w:val="22"/>
        </w:rPr>
      </w:pPr>
    </w:p>
    <w:p w14:paraId="6957755C" w14:textId="77777777" w:rsidR="001A274F" w:rsidRPr="00D21D8C" w:rsidRDefault="00DA418A">
      <w:pPr>
        <w:keepNext/>
        <w:spacing w:line="240" w:lineRule="auto"/>
        <w:jc w:val="both"/>
        <w:rPr>
          <w:rFonts w:asciiTheme="majorBidi" w:hAnsiTheme="majorBidi" w:cstheme="majorBidi"/>
          <w:szCs w:val="22"/>
        </w:rPr>
      </w:pPr>
      <w:r w:rsidRPr="00D21D8C">
        <w:rPr>
          <w:rFonts w:asciiTheme="majorBidi" w:hAnsiTheme="majorBidi" w:cstheme="majorBidi"/>
          <w:iCs/>
          <w:color w:val="000000"/>
          <w:szCs w:val="22"/>
          <w:u w:val="single"/>
        </w:rPr>
        <w:t>Tabel met lijst van bijwerkingen</w:t>
      </w:r>
    </w:p>
    <w:p w14:paraId="5B3E4753" w14:textId="77777777" w:rsidR="001A274F" w:rsidRPr="00D21D8C" w:rsidRDefault="001A274F">
      <w:pPr>
        <w:keepNext/>
        <w:spacing w:line="240" w:lineRule="auto"/>
        <w:jc w:val="both"/>
        <w:rPr>
          <w:rFonts w:asciiTheme="majorBidi" w:hAnsiTheme="majorBidi" w:cstheme="majorBidi"/>
          <w:iCs/>
          <w:szCs w:val="22"/>
          <w:u w:val="single"/>
        </w:rPr>
      </w:pPr>
    </w:p>
    <w:p w14:paraId="7F43337C" w14:textId="3CD2A747" w:rsidR="001A274F" w:rsidRPr="00D21D8C" w:rsidRDefault="00DA418A">
      <w:pPr>
        <w:keepNext/>
        <w:tabs>
          <w:tab w:val="clear" w:pos="567"/>
        </w:tabs>
        <w:spacing w:line="240" w:lineRule="auto"/>
        <w:rPr>
          <w:rFonts w:asciiTheme="majorBidi" w:eastAsia="SimSun" w:hAnsiTheme="majorBidi" w:cstheme="majorBidi"/>
          <w:szCs w:val="22"/>
          <w:lang w:eastAsia="en-GB"/>
        </w:rPr>
      </w:pPr>
      <w:r w:rsidRPr="00D21D8C">
        <w:rPr>
          <w:rFonts w:asciiTheme="majorBidi" w:hAnsiTheme="majorBidi" w:cstheme="majorBidi"/>
          <w:color w:val="000000"/>
          <w:szCs w:val="22"/>
          <w:u w:color="FFFFFF"/>
        </w:rPr>
        <w:t>In tabel</w:t>
      </w:r>
      <w:r w:rsidR="00351977" w:rsidRPr="00D21D8C">
        <w:rPr>
          <w:rFonts w:asciiTheme="majorBidi" w:hAnsiTheme="majorBidi" w:cstheme="majorBidi"/>
          <w:color w:val="000000"/>
          <w:szCs w:val="22"/>
          <w:u w:color="FFFFFF"/>
        </w:rPr>
        <w:t> </w:t>
      </w:r>
      <w:r w:rsidR="007461F6" w:rsidRPr="00D21D8C">
        <w:rPr>
          <w:rFonts w:asciiTheme="majorBidi" w:hAnsiTheme="majorBidi" w:cstheme="majorBidi"/>
          <w:color w:val="000000"/>
          <w:szCs w:val="22"/>
          <w:u w:color="FFFFFF"/>
        </w:rPr>
        <w:t>1</w:t>
      </w:r>
      <w:r w:rsidRPr="00D21D8C">
        <w:rPr>
          <w:rFonts w:asciiTheme="majorBidi" w:hAnsiTheme="majorBidi" w:cstheme="majorBidi"/>
          <w:color w:val="000000"/>
          <w:szCs w:val="22"/>
          <w:u w:color="FFFFFF"/>
        </w:rPr>
        <w:t xml:space="preserve"> staan de bijwerkingen geassocieerd met Jaypirca als monotherapie, </w:t>
      </w:r>
      <w:r w:rsidR="00F201B7" w:rsidRPr="00D21D8C">
        <w:rPr>
          <w:rFonts w:asciiTheme="majorBidi" w:hAnsiTheme="majorBidi" w:cstheme="majorBidi"/>
          <w:color w:val="000000"/>
          <w:szCs w:val="22"/>
          <w:u w:color="FFFFFF"/>
        </w:rPr>
        <w:t xml:space="preserve">die zijn </w:t>
      </w:r>
      <w:r w:rsidRPr="00D21D8C">
        <w:rPr>
          <w:rFonts w:asciiTheme="majorBidi" w:hAnsiTheme="majorBidi" w:cstheme="majorBidi"/>
          <w:color w:val="000000"/>
          <w:szCs w:val="22"/>
          <w:u w:color="FFFFFF"/>
        </w:rPr>
        <w:t xml:space="preserve">verkregen uit klinische onderzoeksgegevens. </w:t>
      </w:r>
      <w:r w:rsidR="008F5A68" w:rsidRPr="00D21D8C">
        <w:rPr>
          <w:rFonts w:asciiTheme="majorBidi" w:hAnsiTheme="majorBidi" w:cstheme="majorBidi"/>
          <w:color w:val="000000"/>
          <w:szCs w:val="22"/>
          <w:u w:color="FFFFFF"/>
        </w:rPr>
        <w:t xml:space="preserve">De bijwerkingen zijn gebaseerd op gepoolde gegevens van </w:t>
      </w:r>
      <w:r w:rsidR="00F82181" w:rsidRPr="00D21D8C">
        <w:rPr>
          <w:rFonts w:asciiTheme="majorBidi" w:hAnsiTheme="majorBidi" w:cstheme="majorBidi"/>
          <w:color w:val="000000"/>
          <w:szCs w:val="22"/>
          <w:u w:color="FFFFFF"/>
        </w:rPr>
        <w:t>690 </w:t>
      </w:r>
      <w:r w:rsidR="008F5A68" w:rsidRPr="00D21D8C">
        <w:rPr>
          <w:rFonts w:asciiTheme="majorBidi" w:hAnsiTheme="majorBidi" w:cstheme="majorBidi"/>
          <w:color w:val="000000"/>
          <w:szCs w:val="22"/>
          <w:u w:color="FFFFFF"/>
        </w:rPr>
        <w:t>patiënten die behandeld werde</w:t>
      </w:r>
      <w:r w:rsidR="00886900" w:rsidRPr="00D21D8C">
        <w:rPr>
          <w:rFonts w:asciiTheme="majorBidi" w:hAnsiTheme="majorBidi" w:cstheme="majorBidi"/>
          <w:color w:val="000000"/>
          <w:szCs w:val="22"/>
          <w:u w:color="FFFFFF"/>
        </w:rPr>
        <w:t>n</w:t>
      </w:r>
      <w:r w:rsidR="008F5A68" w:rsidRPr="00D21D8C">
        <w:rPr>
          <w:rFonts w:asciiTheme="majorBidi" w:hAnsiTheme="majorBidi" w:cstheme="majorBidi"/>
          <w:color w:val="000000"/>
          <w:szCs w:val="22"/>
          <w:u w:color="FFFFFF"/>
        </w:rPr>
        <w:t xml:space="preserve"> met Jaypirca </w:t>
      </w:r>
      <w:r w:rsidR="000B6434" w:rsidRPr="00D21D8C">
        <w:rPr>
          <w:rFonts w:asciiTheme="majorBidi" w:hAnsiTheme="majorBidi" w:cstheme="majorBidi"/>
          <w:color w:val="000000"/>
          <w:szCs w:val="22"/>
          <w:u w:color="FFFFFF"/>
        </w:rPr>
        <w:t xml:space="preserve">als </w:t>
      </w:r>
      <w:r w:rsidR="008F5A68" w:rsidRPr="00D21D8C">
        <w:rPr>
          <w:rFonts w:asciiTheme="majorBidi" w:hAnsiTheme="majorBidi" w:cstheme="majorBidi"/>
          <w:color w:val="000000"/>
          <w:szCs w:val="22"/>
          <w:u w:color="FFFFFF"/>
        </w:rPr>
        <w:t xml:space="preserve">monotherapie </w:t>
      </w:r>
      <w:r w:rsidR="000B6434" w:rsidRPr="00D21D8C">
        <w:rPr>
          <w:rFonts w:asciiTheme="majorBidi" w:hAnsiTheme="majorBidi" w:cstheme="majorBidi"/>
          <w:color w:val="000000"/>
          <w:szCs w:val="22"/>
          <w:u w:color="FFFFFF"/>
        </w:rPr>
        <w:t xml:space="preserve">met een startdosis van </w:t>
      </w:r>
      <w:r w:rsidR="008F5A68" w:rsidRPr="00D21D8C">
        <w:rPr>
          <w:rFonts w:asciiTheme="majorBidi" w:hAnsiTheme="majorBidi" w:cstheme="majorBidi"/>
          <w:color w:val="000000"/>
          <w:szCs w:val="22"/>
          <w:u w:color="FFFFFF"/>
        </w:rPr>
        <w:t>200 mg eenmaal daags</w:t>
      </w:r>
      <w:r w:rsidR="009247F8" w:rsidRPr="00D21D8C">
        <w:rPr>
          <w:rFonts w:asciiTheme="majorBidi" w:hAnsiTheme="majorBidi" w:cstheme="majorBidi"/>
          <w:color w:val="000000"/>
          <w:szCs w:val="22"/>
          <w:u w:color="FFFFFF"/>
        </w:rPr>
        <w:t>,</w:t>
      </w:r>
      <w:r w:rsidR="008F5A68" w:rsidRPr="00D21D8C">
        <w:rPr>
          <w:rFonts w:asciiTheme="majorBidi" w:hAnsiTheme="majorBidi" w:cstheme="majorBidi"/>
          <w:color w:val="000000"/>
          <w:szCs w:val="22"/>
          <w:u w:color="FFFFFF"/>
        </w:rPr>
        <w:t xml:space="preserve"> zonder dosisverhoging in een </w:t>
      </w:r>
      <w:r w:rsidR="000B6434" w:rsidRPr="00D21D8C">
        <w:rPr>
          <w:rFonts w:asciiTheme="majorBidi" w:hAnsiTheme="majorBidi" w:cstheme="majorBidi"/>
          <w:color w:val="000000"/>
          <w:szCs w:val="22"/>
          <w:u w:color="FFFFFF"/>
        </w:rPr>
        <w:t xml:space="preserve">klinisch </w:t>
      </w:r>
      <w:r w:rsidR="008F5A68" w:rsidRPr="00D21D8C">
        <w:rPr>
          <w:rFonts w:asciiTheme="majorBidi" w:hAnsiTheme="majorBidi" w:cstheme="majorBidi"/>
          <w:color w:val="000000"/>
          <w:szCs w:val="22"/>
          <w:u w:color="FFFFFF"/>
        </w:rPr>
        <w:t>fase </w:t>
      </w:r>
      <w:r w:rsidR="00667EA5" w:rsidRPr="00D21D8C">
        <w:rPr>
          <w:rFonts w:asciiTheme="majorBidi" w:hAnsiTheme="majorBidi" w:cstheme="majorBidi"/>
          <w:color w:val="000000"/>
          <w:szCs w:val="22"/>
          <w:u w:color="FFFFFF"/>
        </w:rPr>
        <w:t>1/2</w:t>
      </w:r>
      <w:r w:rsidR="000B6434" w:rsidRPr="00D21D8C">
        <w:rPr>
          <w:rFonts w:asciiTheme="majorBidi" w:hAnsiTheme="majorBidi" w:cstheme="majorBidi"/>
          <w:color w:val="000000"/>
          <w:szCs w:val="22"/>
          <w:u w:color="FFFFFF"/>
        </w:rPr>
        <w:t>-</w:t>
      </w:r>
      <w:r w:rsidR="008F5A68" w:rsidRPr="00D21D8C">
        <w:rPr>
          <w:rFonts w:asciiTheme="majorBidi" w:hAnsiTheme="majorBidi" w:cstheme="majorBidi"/>
          <w:color w:val="000000"/>
          <w:szCs w:val="22"/>
          <w:u w:color="FFFFFF"/>
        </w:rPr>
        <w:t>onderzoek</w:t>
      </w:r>
      <w:r w:rsidR="00367EEC" w:rsidRPr="00D21D8C">
        <w:rPr>
          <w:rFonts w:asciiTheme="majorBidi" w:hAnsiTheme="majorBidi" w:cstheme="majorBidi"/>
          <w:color w:val="000000"/>
          <w:szCs w:val="22"/>
          <w:u w:color="FFFFFF"/>
        </w:rPr>
        <w:t xml:space="preserve"> en van patiënten die </w:t>
      </w:r>
      <w:r w:rsidR="008A2B96" w:rsidRPr="00D21D8C">
        <w:rPr>
          <w:rFonts w:asciiTheme="majorBidi" w:hAnsiTheme="majorBidi" w:cstheme="majorBidi"/>
          <w:color w:val="000000"/>
          <w:szCs w:val="22"/>
          <w:u w:color="FFFFFF"/>
        </w:rPr>
        <w:t xml:space="preserve">behandeld </w:t>
      </w:r>
      <w:r w:rsidR="00367EEC" w:rsidRPr="00D21D8C">
        <w:rPr>
          <w:rFonts w:asciiTheme="majorBidi" w:hAnsiTheme="majorBidi" w:cstheme="majorBidi"/>
          <w:color w:val="000000"/>
          <w:szCs w:val="22"/>
          <w:u w:color="FFFFFF"/>
        </w:rPr>
        <w:t>werden met Jaypirca</w:t>
      </w:r>
      <w:r w:rsidR="008A2B96" w:rsidRPr="00D21D8C">
        <w:rPr>
          <w:rFonts w:asciiTheme="majorBidi" w:hAnsiTheme="majorBidi" w:cstheme="majorBidi"/>
          <w:color w:val="000000"/>
          <w:szCs w:val="22"/>
          <w:u w:color="FFFFFF"/>
        </w:rPr>
        <w:t xml:space="preserve"> als</w:t>
      </w:r>
      <w:r w:rsidR="00367EEC" w:rsidRPr="00D21D8C">
        <w:rPr>
          <w:rFonts w:asciiTheme="majorBidi" w:hAnsiTheme="majorBidi" w:cstheme="majorBidi"/>
          <w:color w:val="000000"/>
          <w:szCs w:val="22"/>
          <w:u w:color="FFFFFF"/>
        </w:rPr>
        <w:t xml:space="preserve"> monotherapie</w:t>
      </w:r>
      <w:r w:rsidR="005766B7" w:rsidRPr="00D21D8C">
        <w:rPr>
          <w:rFonts w:asciiTheme="majorBidi" w:hAnsiTheme="majorBidi" w:cstheme="majorBidi"/>
          <w:color w:val="000000"/>
          <w:szCs w:val="22"/>
          <w:u w:color="FFFFFF"/>
        </w:rPr>
        <w:t xml:space="preserve"> met een dosis van</w:t>
      </w:r>
      <w:r w:rsidR="00367EEC" w:rsidRPr="00D21D8C">
        <w:rPr>
          <w:rFonts w:asciiTheme="majorBidi" w:hAnsiTheme="majorBidi" w:cstheme="majorBidi"/>
          <w:color w:val="000000"/>
          <w:szCs w:val="22"/>
          <w:u w:color="FFFFFF"/>
        </w:rPr>
        <w:t xml:space="preserve"> 200</w:t>
      </w:r>
      <w:r w:rsidR="008A2B96" w:rsidRPr="00D21D8C">
        <w:rPr>
          <w:rFonts w:asciiTheme="majorBidi" w:hAnsiTheme="majorBidi" w:cstheme="majorBidi"/>
          <w:color w:val="000000"/>
          <w:szCs w:val="22"/>
          <w:u w:color="FFFFFF"/>
        </w:rPr>
        <w:t> </w:t>
      </w:r>
      <w:r w:rsidR="00367EEC" w:rsidRPr="00D21D8C">
        <w:rPr>
          <w:rFonts w:asciiTheme="majorBidi" w:hAnsiTheme="majorBidi" w:cstheme="majorBidi"/>
          <w:color w:val="000000"/>
          <w:szCs w:val="22"/>
          <w:u w:color="FFFFFF"/>
        </w:rPr>
        <w:t>mg</w:t>
      </w:r>
      <w:r w:rsidR="005766B7" w:rsidRPr="00D21D8C">
        <w:rPr>
          <w:rFonts w:asciiTheme="majorBidi" w:hAnsiTheme="majorBidi" w:cstheme="majorBidi"/>
          <w:color w:val="000000"/>
          <w:szCs w:val="22"/>
          <w:u w:color="FFFFFF"/>
        </w:rPr>
        <w:t xml:space="preserve"> eenmaal daags</w:t>
      </w:r>
      <w:r w:rsidR="00367EEC" w:rsidRPr="00D21D8C">
        <w:rPr>
          <w:rFonts w:asciiTheme="majorBidi" w:hAnsiTheme="majorBidi" w:cstheme="majorBidi"/>
          <w:color w:val="000000"/>
          <w:szCs w:val="22"/>
          <w:u w:color="FFFFFF"/>
        </w:rPr>
        <w:t xml:space="preserve"> in een fase </w:t>
      </w:r>
      <w:r w:rsidR="005766B7" w:rsidRPr="00D21D8C">
        <w:rPr>
          <w:rFonts w:asciiTheme="majorBidi" w:hAnsiTheme="majorBidi" w:cstheme="majorBidi"/>
          <w:color w:val="000000"/>
          <w:szCs w:val="22"/>
          <w:u w:color="FFFFFF"/>
        </w:rPr>
        <w:t>3-onderzoek.</w:t>
      </w:r>
      <w:r w:rsidR="008F5A68" w:rsidRPr="00D21D8C">
        <w:rPr>
          <w:rFonts w:asciiTheme="majorBidi" w:hAnsiTheme="majorBidi" w:cstheme="majorBidi"/>
          <w:color w:val="000000"/>
          <w:szCs w:val="22"/>
          <w:u w:color="FFFFFF"/>
        </w:rPr>
        <w:t xml:space="preserve"> Patiënten werden behandeld voor MCL, chronische </w:t>
      </w:r>
      <w:r w:rsidR="000B6434" w:rsidRPr="00D21D8C">
        <w:rPr>
          <w:rFonts w:asciiTheme="majorBidi" w:hAnsiTheme="majorBidi" w:cstheme="majorBidi"/>
          <w:color w:val="000000"/>
          <w:szCs w:val="22"/>
          <w:u w:color="FFFFFF"/>
        </w:rPr>
        <w:t xml:space="preserve">lymfatische </w:t>
      </w:r>
      <w:r w:rsidR="008F5A68" w:rsidRPr="00D21D8C">
        <w:rPr>
          <w:rFonts w:asciiTheme="majorBidi" w:hAnsiTheme="majorBidi" w:cstheme="majorBidi"/>
          <w:color w:val="000000"/>
          <w:szCs w:val="22"/>
          <w:u w:color="FFFFFF"/>
        </w:rPr>
        <w:t>leukemie/klein</w:t>
      </w:r>
      <w:r w:rsidR="000B6434" w:rsidRPr="00D21D8C">
        <w:rPr>
          <w:rFonts w:asciiTheme="majorBidi" w:hAnsiTheme="majorBidi" w:cstheme="majorBidi"/>
          <w:color w:val="000000"/>
          <w:szCs w:val="22"/>
          <w:u w:color="FFFFFF"/>
        </w:rPr>
        <w:t>cellig</w:t>
      </w:r>
      <w:r w:rsidR="008F5A68" w:rsidRPr="00D21D8C">
        <w:rPr>
          <w:rFonts w:asciiTheme="majorBidi" w:hAnsiTheme="majorBidi" w:cstheme="majorBidi"/>
          <w:color w:val="000000"/>
          <w:szCs w:val="22"/>
          <w:u w:color="FFFFFF"/>
        </w:rPr>
        <w:t xml:space="preserve"> </w:t>
      </w:r>
      <w:r w:rsidR="00624D6A" w:rsidRPr="00D21D8C">
        <w:rPr>
          <w:rFonts w:asciiTheme="majorBidi" w:hAnsiTheme="majorBidi" w:cstheme="majorBidi"/>
          <w:color w:val="000000"/>
          <w:szCs w:val="22"/>
          <w:u w:color="FFFFFF"/>
        </w:rPr>
        <w:t xml:space="preserve">lymfocytair </w:t>
      </w:r>
      <w:r w:rsidR="000B6434" w:rsidRPr="00D21D8C">
        <w:rPr>
          <w:rFonts w:asciiTheme="majorBidi" w:hAnsiTheme="majorBidi" w:cstheme="majorBidi"/>
          <w:color w:val="000000"/>
          <w:szCs w:val="22"/>
          <w:u w:color="FFFFFF"/>
        </w:rPr>
        <w:t>B-cel</w:t>
      </w:r>
      <w:r w:rsidR="005C677C" w:rsidRPr="00D21D8C">
        <w:rPr>
          <w:rFonts w:asciiTheme="majorBidi" w:hAnsiTheme="majorBidi" w:cstheme="majorBidi"/>
          <w:color w:val="000000"/>
          <w:szCs w:val="22"/>
          <w:u w:color="FFFFFF"/>
        </w:rPr>
        <w:t xml:space="preserve">lymfoom </w:t>
      </w:r>
      <w:r w:rsidR="008F5A68" w:rsidRPr="00D21D8C">
        <w:rPr>
          <w:rFonts w:asciiTheme="majorBidi" w:hAnsiTheme="majorBidi" w:cstheme="majorBidi"/>
          <w:color w:val="000000"/>
          <w:szCs w:val="22"/>
          <w:u w:color="FFFFFF"/>
        </w:rPr>
        <w:t xml:space="preserve">(CLL/SLL) en ander non-Hodgkin-lymfoom (NHL). </w:t>
      </w:r>
      <w:r w:rsidRPr="00D21D8C">
        <w:rPr>
          <w:rFonts w:asciiTheme="majorBidi" w:hAnsiTheme="majorBidi" w:cstheme="majorBidi"/>
          <w:color w:val="000000"/>
          <w:szCs w:val="22"/>
          <w:u w:color="FFFFFF"/>
        </w:rPr>
        <w:t xml:space="preserve">Patiënten werden blootgesteld aan Jaypirca voor een mediane duur van </w:t>
      </w:r>
      <w:r w:rsidR="00E9695F" w:rsidRPr="00D21D8C">
        <w:rPr>
          <w:rFonts w:asciiTheme="majorBidi" w:hAnsiTheme="majorBidi" w:cstheme="majorBidi"/>
          <w:color w:val="000000"/>
          <w:szCs w:val="22"/>
          <w:u w:color="FFFFFF"/>
        </w:rPr>
        <w:t>12 </w:t>
      </w:r>
      <w:r w:rsidRPr="00D21D8C">
        <w:rPr>
          <w:rFonts w:asciiTheme="majorBidi" w:hAnsiTheme="majorBidi" w:cstheme="majorBidi"/>
          <w:color w:val="000000"/>
          <w:szCs w:val="22"/>
          <w:u w:color="FFFFFF"/>
        </w:rPr>
        <w:t xml:space="preserve">maanden. </w:t>
      </w:r>
      <w:r w:rsidR="00C76DF9" w:rsidRPr="00D21D8C">
        <w:rPr>
          <w:rFonts w:asciiTheme="majorBidi" w:hAnsiTheme="majorBidi" w:cstheme="majorBidi"/>
          <w:color w:val="000000"/>
          <w:szCs w:val="22"/>
          <w:u w:color="FFFFFF"/>
        </w:rPr>
        <w:t xml:space="preserve">De bijwerkingen </w:t>
      </w:r>
      <w:r w:rsidRPr="00D21D8C">
        <w:rPr>
          <w:rFonts w:asciiTheme="majorBidi" w:hAnsiTheme="majorBidi" w:cstheme="majorBidi"/>
          <w:color w:val="000000"/>
          <w:szCs w:val="22"/>
          <w:u w:color="FFFFFF"/>
        </w:rPr>
        <w:t xml:space="preserve">worden hieronder weergegeven volgens </w:t>
      </w:r>
      <w:r w:rsidR="008F6DD8" w:rsidRPr="00D21D8C">
        <w:rPr>
          <w:rFonts w:asciiTheme="majorBidi" w:hAnsiTheme="majorBidi" w:cstheme="majorBidi"/>
          <w:color w:val="000000"/>
          <w:szCs w:val="22"/>
          <w:u w:color="FFFFFF"/>
        </w:rPr>
        <w:t xml:space="preserve">de </w:t>
      </w:r>
      <w:r w:rsidRPr="00D21D8C">
        <w:rPr>
          <w:rFonts w:asciiTheme="majorBidi" w:hAnsiTheme="majorBidi" w:cstheme="majorBidi"/>
          <w:color w:val="000000"/>
          <w:szCs w:val="22"/>
          <w:u w:color="FFFFFF"/>
        </w:rPr>
        <w:t>systeem/orgaanklassen</w:t>
      </w:r>
      <w:r w:rsidR="008F6DD8" w:rsidRPr="00D21D8C">
        <w:rPr>
          <w:rFonts w:asciiTheme="majorBidi" w:hAnsiTheme="majorBidi" w:cstheme="majorBidi"/>
          <w:color w:val="000000"/>
          <w:szCs w:val="22"/>
          <w:u w:color="FFFFFF"/>
        </w:rPr>
        <w:t xml:space="preserve"> volgens MedDRA</w:t>
      </w:r>
      <w:r w:rsidRPr="00D21D8C">
        <w:rPr>
          <w:rFonts w:asciiTheme="majorBidi" w:hAnsiTheme="majorBidi" w:cstheme="majorBidi"/>
          <w:color w:val="000000"/>
          <w:szCs w:val="22"/>
          <w:u w:color="FFFFFF"/>
        </w:rPr>
        <w:t xml:space="preserve">. </w:t>
      </w:r>
      <w:r w:rsidR="00C76DF9" w:rsidRPr="00D21D8C">
        <w:rPr>
          <w:rFonts w:asciiTheme="majorBidi" w:hAnsiTheme="majorBidi" w:cstheme="majorBidi"/>
          <w:color w:val="000000"/>
          <w:szCs w:val="22"/>
          <w:u w:color="FFFFFF"/>
        </w:rPr>
        <w:t>F</w:t>
      </w:r>
      <w:r w:rsidRPr="00D21D8C">
        <w:rPr>
          <w:rFonts w:asciiTheme="majorBidi" w:hAnsiTheme="majorBidi" w:cstheme="majorBidi"/>
          <w:color w:val="000000"/>
          <w:szCs w:val="22"/>
          <w:u w:color="FFFFFF"/>
        </w:rPr>
        <w:t>requentie</w:t>
      </w:r>
      <w:r w:rsidR="00C76DF9" w:rsidRPr="00D21D8C">
        <w:rPr>
          <w:rFonts w:asciiTheme="majorBidi" w:hAnsiTheme="majorBidi" w:cstheme="majorBidi"/>
          <w:color w:val="000000"/>
          <w:szCs w:val="22"/>
          <w:u w:color="FFFFFF"/>
        </w:rPr>
        <w:t>groepen</w:t>
      </w:r>
      <w:r w:rsidRPr="00D21D8C">
        <w:rPr>
          <w:rFonts w:asciiTheme="majorBidi" w:hAnsiTheme="majorBidi" w:cstheme="majorBidi"/>
          <w:color w:val="000000"/>
          <w:szCs w:val="22"/>
          <w:u w:color="FFFFFF"/>
        </w:rPr>
        <w:t xml:space="preserve"> worden gedefinieerd als: zeer</w:t>
      </w:r>
      <w:r w:rsidR="008F6DD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vaak</w:t>
      </w:r>
      <w:r w:rsidR="008F6DD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w:t>
      </w:r>
      <w:r w:rsidR="00C76DF9" w:rsidRPr="00D21D8C">
        <w:rPr>
          <w:rFonts w:ascii="Symbol" w:eastAsia="Symbol" w:hAnsi="Symbol" w:cs="Symbol"/>
        </w:rPr>
        <w:t></w:t>
      </w:r>
      <w:r w:rsidRPr="00D21D8C">
        <w:rPr>
          <w:rFonts w:asciiTheme="majorBidi" w:hAnsiTheme="majorBidi" w:cstheme="majorBidi"/>
          <w:color w:val="000000"/>
          <w:szCs w:val="22"/>
          <w:u w:color="FFFFFF"/>
        </w:rPr>
        <w:t> 1/10); vaak (</w:t>
      </w:r>
      <w:r w:rsidR="00C76DF9" w:rsidRPr="00D21D8C">
        <w:rPr>
          <w:rFonts w:ascii="Symbol" w:eastAsia="Symbol" w:hAnsi="Symbol" w:cs="Symbol"/>
        </w:rPr>
        <w:t></w:t>
      </w:r>
      <w:r w:rsidR="00357807" w:rsidRPr="00D21D8C">
        <w:rPr>
          <w:rFonts w:ascii="Symbol" w:eastAsia="Symbol" w:hAnsi="Symbol" w:cs="Symbol"/>
        </w:rPr>
        <w:t></w:t>
      </w:r>
      <w:r w:rsidRPr="00D21D8C">
        <w:rPr>
          <w:rFonts w:asciiTheme="majorBidi" w:hAnsiTheme="majorBidi" w:cstheme="majorBidi"/>
          <w:color w:val="000000"/>
          <w:szCs w:val="22"/>
          <w:u w:color="FFFFFF"/>
        </w:rPr>
        <w:t>1/100</w:t>
      </w:r>
      <w:r w:rsidR="008F6DD8" w:rsidRPr="00D21D8C">
        <w:rPr>
          <w:rFonts w:asciiTheme="majorBidi" w:hAnsiTheme="majorBidi" w:cstheme="majorBidi"/>
          <w:color w:val="000000"/>
          <w:szCs w:val="22"/>
          <w:u w:color="FFFFFF"/>
        </w:rPr>
        <w:t xml:space="preserve">, </w:t>
      </w:r>
      <w:r w:rsidRPr="00D21D8C">
        <w:rPr>
          <w:rFonts w:asciiTheme="majorBidi" w:hAnsiTheme="majorBidi" w:cstheme="majorBidi"/>
          <w:color w:val="000000"/>
          <w:szCs w:val="22"/>
          <w:u w:color="FFFFFF"/>
        </w:rPr>
        <w:t>&lt;</w:t>
      </w:r>
      <w:r w:rsidR="00351977"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1/10); soms (</w:t>
      </w:r>
      <w:r w:rsidR="00C76DF9" w:rsidRPr="00D21D8C">
        <w:rPr>
          <w:rFonts w:ascii="Symbol" w:eastAsia="Symbol" w:hAnsi="Symbol" w:cs="Symbol"/>
        </w:rPr>
        <w:t></w:t>
      </w:r>
      <w:r w:rsidRPr="00D21D8C">
        <w:rPr>
          <w:rFonts w:asciiTheme="majorBidi" w:hAnsiTheme="majorBidi" w:cstheme="majorBidi"/>
          <w:color w:val="000000"/>
          <w:szCs w:val="22"/>
          <w:u w:color="FFFFFF"/>
        </w:rPr>
        <w:t> 1/1.000</w:t>
      </w:r>
      <w:r w:rsidR="008F6DD8" w:rsidRPr="00D21D8C">
        <w:rPr>
          <w:rFonts w:asciiTheme="majorBidi" w:hAnsiTheme="majorBidi" w:cstheme="majorBidi"/>
          <w:color w:val="000000"/>
          <w:szCs w:val="22"/>
          <w:u w:color="FFFFFF"/>
        </w:rPr>
        <w:t>,</w:t>
      </w:r>
      <w:r w:rsidR="00C76DF9" w:rsidRPr="00D21D8C">
        <w:rPr>
          <w:rFonts w:asciiTheme="majorBidi" w:hAnsiTheme="majorBidi" w:cstheme="majorBidi"/>
          <w:color w:val="000000"/>
          <w:szCs w:val="22"/>
          <w:u w:color="FFFFFF"/>
        </w:rPr>
        <w:t xml:space="preserve"> </w:t>
      </w:r>
      <w:r w:rsidRPr="00D21D8C">
        <w:rPr>
          <w:rFonts w:asciiTheme="majorBidi" w:hAnsiTheme="majorBidi" w:cstheme="majorBidi"/>
          <w:color w:val="000000"/>
          <w:szCs w:val="22"/>
          <w:u w:color="FFFFFF"/>
        </w:rPr>
        <w:t>&lt;</w:t>
      </w:r>
      <w:r w:rsidR="00351977"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1/100); zelden (</w:t>
      </w:r>
      <w:r w:rsidR="00C76DF9" w:rsidRPr="00D21D8C">
        <w:rPr>
          <w:rFonts w:ascii="Symbol" w:eastAsia="Symbol" w:hAnsi="Symbol" w:cs="Symbol"/>
        </w:rPr>
        <w:t></w:t>
      </w:r>
      <w:r w:rsidRPr="00D21D8C">
        <w:rPr>
          <w:rFonts w:asciiTheme="majorBidi" w:hAnsiTheme="majorBidi" w:cstheme="majorBidi"/>
          <w:color w:val="000000"/>
          <w:szCs w:val="22"/>
          <w:u w:color="FFFFFF"/>
        </w:rPr>
        <w:t> 1/10.000</w:t>
      </w:r>
      <w:r w:rsidR="008F6DD8" w:rsidRPr="00D21D8C">
        <w:rPr>
          <w:rFonts w:asciiTheme="majorBidi" w:hAnsiTheme="majorBidi" w:cstheme="majorBidi"/>
          <w:color w:val="000000"/>
          <w:szCs w:val="22"/>
          <w:u w:color="FFFFFF"/>
        </w:rPr>
        <w:t>,</w:t>
      </w:r>
      <w:r w:rsidRPr="00D21D8C">
        <w:rPr>
          <w:rFonts w:asciiTheme="majorBidi" w:hAnsiTheme="majorBidi" w:cstheme="majorBidi"/>
          <w:color w:val="000000"/>
          <w:szCs w:val="22"/>
          <w:u w:color="FFFFFF"/>
        </w:rPr>
        <w:t xml:space="preserve"> &lt; 1/1.000); zeer zelden (&lt; 1/10.000) en niet bekend (kan met de beschikbare gegevens niet worden bepaald). Binnen </w:t>
      </w:r>
      <w:r w:rsidR="00C76DF9" w:rsidRPr="00D21D8C">
        <w:rPr>
          <w:rFonts w:asciiTheme="majorBidi" w:hAnsiTheme="majorBidi" w:cstheme="majorBidi"/>
          <w:color w:val="000000"/>
          <w:szCs w:val="22"/>
          <w:u w:color="FFFFFF"/>
        </w:rPr>
        <w:t xml:space="preserve">elke </w:t>
      </w:r>
      <w:r w:rsidRPr="00D21D8C">
        <w:rPr>
          <w:rFonts w:asciiTheme="majorBidi" w:hAnsiTheme="majorBidi" w:cstheme="majorBidi"/>
          <w:color w:val="000000"/>
          <w:szCs w:val="22"/>
          <w:u w:color="FFFFFF"/>
        </w:rPr>
        <w:t xml:space="preserve">frequentiegroep worden de </w:t>
      </w:r>
      <w:r w:rsidR="00C76DF9" w:rsidRPr="00D21D8C">
        <w:rPr>
          <w:rFonts w:asciiTheme="majorBidi" w:hAnsiTheme="majorBidi" w:cstheme="majorBidi"/>
          <w:color w:val="000000"/>
          <w:szCs w:val="22"/>
          <w:u w:color="FFFFFF"/>
        </w:rPr>
        <w:t xml:space="preserve">bijwerkingen </w:t>
      </w:r>
      <w:r w:rsidRPr="00D21D8C">
        <w:rPr>
          <w:rFonts w:asciiTheme="majorBidi" w:hAnsiTheme="majorBidi" w:cstheme="majorBidi"/>
          <w:color w:val="000000"/>
          <w:szCs w:val="22"/>
          <w:u w:color="FFFFFF"/>
        </w:rPr>
        <w:t>gerangschikt naar afnemende ernst.</w:t>
      </w:r>
    </w:p>
    <w:p w14:paraId="501B114F" w14:textId="77777777" w:rsidR="001A274F" w:rsidRPr="00D21D8C" w:rsidRDefault="001A274F">
      <w:pPr>
        <w:spacing w:line="240" w:lineRule="auto"/>
        <w:jc w:val="both"/>
        <w:rPr>
          <w:rFonts w:asciiTheme="majorBidi" w:hAnsiTheme="majorBidi" w:cstheme="majorBidi"/>
          <w:szCs w:val="22"/>
        </w:rPr>
      </w:pPr>
    </w:p>
    <w:p w14:paraId="3973E7E1" w14:textId="579F1508" w:rsidR="001A274F" w:rsidRPr="00D21D8C" w:rsidRDefault="00DA418A">
      <w:pPr>
        <w:keepNext/>
        <w:tabs>
          <w:tab w:val="clear" w:pos="567"/>
        </w:tabs>
        <w:spacing w:line="240" w:lineRule="auto"/>
        <w:rPr>
          <w:rFonts w:asciiTheme="majorBidi" w:eastAsia="SimSun" w:hAnsiTheme="majorBidi" w:cstheme="majorBidi"/>
          <w:b/>
          <w:bCs/>
          <w:szCs w:val="22"/>
          <w:lang w:eastAsia="en-GB"/>
        </w:rPr>
      </w:pPr>
      <w:r w:rsidRPr="00D21D8C">
        <w:rPr>
          <w:rFonts w:asciiTheme="majorBidi" w:hAnsiTheme="majorBidi" w:cstheme="majorBidi"/>
          <w:b/>
          <w:bCs/>
          <w:color w:val="000000"/>
          <w:szCs w:val="22"/>
          <w:u w:color="FFFFFF"/>
        </w:rPr>
        <w:t>Tabel</w:t>
      </w:r>
      <w:r w:rsidR="007B5425" w:rsidRPr="00D21D8C">
        <w:rPr>
          <w:rFonts w:asciiTheme="majorBidi" w:hAnsiTheme="majorBidi" w:cstheme="majorBidi"/>
          <w:b/>
          <w:bCs/>
          <w:color w:val="000000"/>
          <w:szCs w:val="22"/>
          <w:u w:color="FFFFFF"/>
        </w:rPr>
        <w:t> </w:t>
      </w:r>
      <w:r w:rsidR="00FF3A3F" w:rsidRPr="00D21D8C">
        <w:rPr>
          <w:rFonts w:asciiTheme="majorBidi" w:hAnsiTheme="majorBidi" w:cstheme="majorBidi"/>
          <w:b/>
          <w:bCs/>
          <w:color w:val="000000"/>
          <w:szCs w:val="22"/>
          <w:u w:color="FFFFFF"/>
        </w:rPr>
        <w:t>1</w:t>
      </w:r>
      <w:r w:rsidRPr="00D21D8C">
        <w:rPr>
          <w:rFonts w:asciiTheme="majorBidi" w:hAnsiTheme="majorBidi" w:cstheme="majorBidi"/>
          <w:b/>
          <w:bCs/>
          <w:color w:val="000000"/>
          <w:szCs w:val="22"/>
          <w:u w:color="FFFFFF"/>
        </w:rPr>
        <w:t xml:space="preserve">: </w:t>
      </w:r>
      <w:r w:rsidR="00357807" w:rsidRPr="00D21D8C">
        <w:rPr>
          <w:rFonts w:asciiTheme="majorBidi" w:hAnsiTheme="majorBidi" w:cstheme="majorBidi"/>
          <w:b/>
          <w:bCs/>
          <w:color w:val="000000"/>
          <w:szCs w:val="22"/>
          <w:u w:color="FFFFFF"/>
        </w:rPr>
        <w:t xml:space="preserve">Bijwerkingen </w:t>
      </w:r>
      <w:r w:rsidRPr="00D21D8C">
        <w:rPr>
          <w:rFonts w:asciiTheme="majorBidi" w:hAnsiTheme="majorBidi" w:cstheme="majorBidi"/>
          <w:b/>
          <w:bCs/>
          <w:color w:val="000000"/>
          <w:szCs w:val="22"/>
          <w:u w:color="FFFFFF"/>
        </w:rPr>
        <w:t>van patiënten behandeld met Jaypirca</w:t>
      </w:r>
      <w:r w:rsidR="00357807" w:rsidRPr="00D21D8C">
        <w:rPr>
          <w:rFonts w:asciiTheme="majorBidi" w:hAnsiTheme="majorBidi" w:cstheme="majorBidi"/>
          <w:b/>
          <w:bCs/>
          <w:color w:val="000000"/>
          <w:szCs w:val="22"/>
          <w:u w:color="FFFFFF"/>
        </w:rPr>
        <w:t>-</w:t>
      </w:r>
      <w:r w:rsidRPr="00D21D8C">
        <w:rPr>
          <w:rFonts w:asciiTheme="majorBidi" w:hAnsiTheme="majorBidi" w:cstheme="majorBidi"/>
          <w:b/>
          <w:bCs/>
          <w:color w:val="000000"/>
          <w:szCs w:val="22"/>
          <w:u w:color="FFFFFF"/>
        </w:rPr>
        <w:t>monotherapie</w:t>
      </w:r>
      <w:r w:rsidR="00FF3A3F" w:rsidRPr="00D21D8C">
        <w:rPr>
          <w:rFonts w:eastAsia="SimSun"/>
          <w:b/>
          <w:bCs/>
          <w:szCs w:val="22"/>
          <w:vertAlign w:val="superscript"/>
          <w:lang w:eastAsia="en-GB"/>
        </w:rPr>
        <w:t xml:space="preserve">a </w:t>
      </w:r>
      <w:r w:rsidR="00FF3A3F" w:rsidRPr="00D21D8C">
        <w:rPr>
          <w:rFonts w:eastAsia="SimSun"/>
          <w:b/>
          <w:bCs/>
          <w:szCs w:val="22"/>
          <w:lang w:eastAsia="en-GB"/>
        </w:rPr>
        <w:t>met 200 mg eenmaal</w:t>
      </w:r>
      <w:r w:rsidR="00FF3A3F" w:rsidRPr="00D21D8C">
        <w:rPr>
          <w:rFonts w:eastAsia="SimSun"/>
          <w:b/>
          <w:bCs/>
          <w:szCs w:val="22"/>
          <w:vertAlign w:val="superscript"/>
          <w:lang w:eastAsia="en-GB"/>
        </w:rPr>
        <w:t xml:space="preserve"> </w:t>
      </w:r>
      <w:r w:rsidR="00FF3A3F" w:rsidRPr="00D21D8C">
        <w:rPr>
          <w:rFonts w:asciiTheme="majorBidi" w:eastAsia="SimSun" w:hAnsiTheme="majorBidi" w:cstheme="majorBidi"/>
          <w:b/>
          <w:bCs/>
          <w:szCs w:val="22"/>
          <w:lang w:eastAsia="en-GB"/>
        </w:rPr>
        <w:t>daags</w:t>
      </w:r>
    </w:p>
    <w:p w14:paraId="2E9376F6" w14:textId="77777777" w:rsidR="001A274F" w:rsidRPr="00D21D8C" w:rsidRDefault="001A274F">
      <w:pPr>
        <w:keepNext/>
        <w:spacing w:line="240" w:lineRule="auto"/>
        <w:jc w:val="both"/>
        <w:rPr>
          <w:rFonts w:asciiTheme="majorBidi" w:hAnsiTheme="majorBidi" w:cstheme="majorBidi"/>
          <w:szCs w:val="22"/>
        </w:rPr>
      </w:pPr>
    </w:p>
    <w:tbl>
      <w:tblPr>
        <w:tblW w:w="8825" w:type="dxa"/>
        <w:tblInd w:w="80" w:type="dxa"/>
        <w:tblCellMar>
          <w:left w:w="115" w:type="dxa"/>
          <w:right w:w="115" w:type="dxa"/>
        </w:tblCellMar>
        <w:tblLook w:val="0000" w:firstRow="0" w:lastRow="0" w:firstColumn="0" w:lastColumn="0" w:noHBand="0" w:noVBand="0"/>
      </w:tblPr>
      <w:tblGrid>
        <w:gridCol w:w="2615"/>
        <w:gridCol w:w="2110"/>
        <w:gridCol w:w="2677"/>
        <w:gridCol w:w="1423"/>
      </w:tblGrid>
      <w:tr w:rsidR="001A274F" w:rsidRPr="00D21D8C" w14:paraId="2742271E" w14:textId="77777777" w:rsidTr="00DF69E6">
        <w:trPr>
          <w:trHeight w:val="658"/>
        </w:trPr>
        <w:tc>
          <w:tcPr>
            <w:tcW w:w="2615" w:type="dxa"/>
            <w:tcBorders>
              <w:top w:val="single" w:sz="4" w:space="0" w:color="000000"/>
              <w:left w:val="single" w:sz="4" w:space="0" w:color="000000"/>
              <w:bottom w:val="single" w:sz="4" w:space="0" w:color="000000"/>
              <w:right w:val="single" w:sz="4" w:space="0" w:color="000000"/>
            </w:tcBorders>
          </w:tcPr>
          <w:p w14:paraId="6A477522" w14:textId="77777777" w:rsidR="001A274F" w:rsidRPr="00D21D8C" w:rsidRDefault="00DA418A">
            <w:pPr>
              <w:pStyle w:val="Koptekst"/>
              <w:keepNext/>
              <w:tabs>
                <w:tab w:val="clear" w:pos="4153"/>
                <w:tab w:val="clear" w:pos="8306"/>
              </w:tabs>
              <w:jc w:val="center"/>
              <w:rPr>
                <w:rFonts w:asciiTheme="majorBidi" w:hAnsiTheme="majorBidi" w:cstheme="majorBidi"/>
                <w:b/>
                <w:sz w:val="22"/>
                <w:szCs w:val="22"/>
              </w:rPr>
            </w:pPr>
            <w:r w:rsidRPr="00D21D8C">
              <w:rPr>
                <w:rFonts w:asciiTheme="majorBidi" w:hAnsiTheme="majorBidi" w:cstheme="majorBidi"/>
                <w:b/>
                <w:bCs/>
                <w:color w:val="000000"/>
                <w:sz w:val="22"/>
                <w:szCs w:val="22"/>
                <w:u w:color="FFFFFF"/>
              </w:rPr>
              <w:t>Systeem/orgaanklasse (MedDRA)</w:t>
            </w:r>
          </w:p>
        </w:tc>
        <w:tc>
          <w:tcPr>
            <w:tcW w:w="2110" w:type="dxa"/>
            <w:tcBorders>
              <w:top w:val="single" w:sz="4" w:space="0" w:color="000000"/>
              <w:left w:val="single" w:sz="4" w:space="0" w:color="000000"/>
              <w:bottom w:val="single" w:sz="4" w:space="0" w:color="000000"/>
              <w:right w:val="single" w:sz="4" w:space="0" w:color="000000"/>
            </w:tcBorders>
          </w:tcPr>
          <w:p w14:paraId="52659B47" w14:textId="365FE58E" w:rsidR="001A274F" w:rsidRPr="00D21D8C" w:rsidRDefault="00357807">
            <w:pPr>
              <w:pStyle w:val="Koptekst"/>
              <w:keepNext/>
              <w:tabs>
                <w:tab w:val="clear" w:pos="4153"/>
                <w:tab w:val="clear" w:pos="8306"/>
              </w:tabs>
              <w:jc w:val="center"/>
              <w:rPr>
                <w:rFonts w:asciiTheme="majorBidi" w:hAnsiTheme="majorBidi" w:cstheme="majorBidi"/>
                <w:sz w:val="22"/>
                <w:szCs w:val="22"/>
              </w:rPr>
            </w:pPr>
            <w:r w:rsidRPr="00D21D8C">
              <w:rPr>
                <w:rFonts w:asciiTheme="majorBidi" w:hAnsiTheme="majorBidi" w:cstheme="majorBidi"/>
                <w:b/>
                <w:bCs/>
                <w:iCs/>
                <w:color w:val="000000"/>
                <w:sz w:val="22"/>
                <w:szCs w:val="22"/>
                <w:u w:color="FFFFFF"/>
              </w:rPr>
              <w:t>Bijwerking</w:t>
            </w:r>
            <w:r w:rsidRPr="00D21D8C">
              <w:rPr>
                <w:rFonts w:asciiTheme="majorBidi" w:hAnsiTheme="majorBidi" w:cstheme="majorBidi"/>
                <w:iCs/>
                <w:color w:val="000000"/>
                <w:sz w:val="22"/>
                <w:szCs w:val="22"/>
                <w:u w:color="FFFFFF"/>
              </w:rPr>
              <w:t xml:space="preserve"> </w:t>
            </w:r>
          </w:p>
        </w:tc>
        <w:tc>
          <w:tcPr>
            <w:tcW w:w="2677" w:type="dxa"/>
            <w:tcBorders>
              <w:top w:val="single" w:sz="4" w:space="0" w:color="000000"/>
              <w:left w:val="single" w:sz="4" w:space="0" w:color="000000"/>
              <w:bottom w:val="single" w:sz="4" w:space="0" w:color="000000"/>
              <w:right w:val="single" w:sz="4" w:space="0" w:color="000000"/>
            </w:tcBorders>
          </w:tcPr>
          <w:p w14:paraId="1F02CB49" w14:textId="77777777" w:rsidR="001A274F" w:rsidRPr="00D21D8C" w:rsidRDefault="00DA418A">
            <w:pPr>
              <w:pStyle w:val="Koptekst"/>
              <w:keepNext/>
              <w:tabs>
                <w:tab w:val="clear" w:pos="4153"/>
                <w:tab w:val="clear" w:pos="8306"/>
              </w:tabs>
              <w:jc w:val="center"/>
              <w:rPr>
                <w:rFonts w:asciiTheme="majorBidi" w:hAnsiTheme="majorBidi" w:cstheme="majorBidi"/>
                <w:b/>
                <w:sz w:val="22"/>
                <w:szCs w:val="22"/>
              </w:rPr>
            </w:pPr>
            <w:r w:rsidRPr="00D21D8C">
              <w:rPr>
                <w:rFonts w:asciiTheme="majorBidi" w:hAnsiTheme="majorBidi" w:cstheme="majorBidi"/>
                <w:b/>
                <w:bCs/>
                <w:color w:val="000000"/>
                <w:sz w:val="22"/>
                <w:szCs w:val="22"/>
                <w:u w:color="FFFFFF"/>
              </w:rPr>
              <w:t>Frequentiecategorie (%)</w:t>
            </w:r>
          </w:p>
          <w:p w14:paraId="493D76DA" w14:textId="77777777" w:rsidR="001A274F" w:rsidRPr="00D21D8C" w:rsidRDefault="00DA418A">
            <w:pPr>
              <w:pStyle w:val="Koptekst"/>
              <w:keepNext/>
              <w:tabs>
                <w:tab w:val="clear" w:pos="4153"/>
                <w:tab w:val="clear" w:pos="8306"/>
              </w:tabs>
              <w:jc w:val="center"/>
              <w:rPr>
                <w:rFonts w:asciiTheme="majorBidi" w:hAnsiTheme="majorBidi" w:cstheme="majorBidi"/>
                <w:b/>
                <w:strike/>
                <w:sz w:val="22"/>
                <w:szCs w:val="22"/>
              </w:rPr>
            </w:pPr>
            <w:r w:rsidRPr="00D21D8C">
              <w:rPr>
                <w:rFonts w:asciiTheme="majorBidi" w:hAnsiTheme="majorBidi" w:cstheme="majorBidi"/>
                <w:b/>
                <w:bCs/>
                <w:color w:val="000000"/>
                <w:sz w:val="22"/>
                <w:szCs w:val="22"/>
                <w:u w:color="FFFFFF"/>
              </w:rPr>
              <w:t>(alle graden)</w:t>
            </w:r>
            <w:r w:rsidRPr="00D21D8C">
              <w:rPr>
                <w:rFonts w:asciiTheme="majorBidi" w:hAnsiTheme="majorBidi" w:cstheme="majorBidi"/>
                <w:color w:val="000000"/>
                <w:sz w:val="22"/>
                <w:szCs w:val="22"/>
                <w:u w:color="FFFFFF"/>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56056009" w14:textId="601E0D42" w:rsidR="001A274F" w:rsidRPr="00D21D8C" w:rsidRDefault="00DA418A">
            <w:pPr>
              <w:pStyle w:val="Koptekst"/>
              <w:keepNext/>
              <w:tabs>
                <w:tab w:val="clear" w:pos="4153"/>
                <w:tab w:val="clear" w:pos="8306"/>
              </w:tabs>
              <w:jc w:val="center"/>
              <w:rPr>
                <w:rFonts w:asciiTheme="majorBidi" w:hAnsiTheme="majorBidi" w:cstheme="majorBidi"/>
                <w:b/>
                <w:sz w:val="22"/>
                <w:szCs w:val="22"/>
              </w:rPr>
            </w:pPr>
            <w:r w:rsidRPr="00D21D8C">
              <w:rPr>
                <w:rFonts w:asciiTheme="majorBidi" w:hAnsiTheme="majorBidi" w:cstheme="majorBidi"/>
                <w:b/>
                <w:bCs/>
                <w:color w:val="000000"/>
                <w:sz w:val="22"/>
                <w:szCs w:val="22"/>
                <w:u w:color="FFFFFF"/>
              </w:rPr>
              <w:t xml:space="preserve">Graad </w:t>
            </w:r>
            <w:r w:rsidR="00357807" w:rsidRPr="00D21D8C">
              <w:rPr>
                <w:rFonts w:ascii="Symbol" w:eastAsia="Symbol" w:hAnsi="Symbol" w:cs="Symbol"/>
                <w:b/>
                <w:sz w:val="22"/>
                <w:szCs w:val="22"/>
              </w:rPr>
              <w:t></w:t>
            </w:r>
            <w:r w:rsidR="00E44ADC" w:rsidRPr="00D21D8C">
              <w:rPr>
                <w:rFonts w:asciiTheme="majorBidi" w:hAnsiTheme="majorBidi" w:cstheme="majorBidi"/>
                <w:b/>
                <w:bCs/>
                <w:color w:val="000000"/>
                <w:sz w:val="22"/>
                <w:szCs w:val="22"/>
                <w:u w:color="FFFFFF"/>
              </w:rPr>
              <w:t> </w:t>
            </w:r>
            <w:r w:rsidRPr="00D21D8C">
              <w:rPr>
                <w:rFonts w:asciiTheme="majorBidi" w:hAnsiTheme="majorBidi" w:cstheme="majorBidi"/>
                <w:b/>
                <w:bCs/>
                <w:color w:val="000000"/>
                <w:sz w:val="22"/>
                <w:szCs w:val="22"/>
                <w:u w:color="FFFFFF"/>
              </w:rPr>
              <w:t>3</w:t>
            </w:r>
            <w:r w:rsidRPr="00D21D8C">
              <w:rPr>
                <w:rFonts w:asciiTheme="majorBidi" w:hAnsiTheme="majorBidi" w:cstheme="majorBidi"/>
                <w:b/>
                <w:bCs/>
                <w:color w:val="000000"/>
                <w:sz w:val="22"/>
                <w:szCs w:val="22"/>
                <w:u w:color="FFFFFF"/>
                <w:vertAlign w:val="superscript"/>
              </w:rPr>
              <w:t xml:space="preserve">c </w:t>
            </w:r>
            <w:r w:rsidRPr="00D21D8C">
              <w:rPr>
                <w:rFonts w:asciiTheme="majorBidi" w:hAnsiTheme="majorBidi" w:cstheme="majorBidi"/>
                <w:b/>
                <w:bCs/>
                <w:color w:val="000000"/>
                <w:sz w:val="22"/>
                <w:szCs w:val="22"/>
                <w:u w:color="FFFFFF"/>
              </w:rPr>
              <w:t>(%)</w:t>
            </w:r>
            <w:bookmarkStart w:id="3" w:name="_Hlk120786096"/>
            <w:bookmarkEnd w:id="3"/>
          </w:p>
        </w:tc>
      </w:tr>
      <w:tr w:rsidR="00DF5897" w:rsidRPr="00D21D8C" w14:paraId="573FFDF2" w14:textId="77777777" w:rsidTr="00987DB4">
        <w:tc>
          <w:tcPr>
            <w:tcW w:w="2615" w:type="dxa"/>
            <w:vMerge w:val="restart"/>
            <w:tcBorders>
              <w:top w:val="single" w:sz="4" w:space="0" w:color="000000"/>
              <w:left w:val="single" w:sz="4" w:space="0" w:color="000000"/>
              <w:right w:val="single" w:sz="4" w:space="0" w:color="000000"/>
            </w:tcBorders>
          </w:tcPr>
          <w:p w14:paraId="2FE36851" w14:textId="77777777" w:rsidR="00DF5897" w:rsidRPr="00D21D8C" w:rsidRDefault="00DF5897">
            <w:pPr>
              <w:pStyle w:val="Koptekst"/>
              <w:keepNext/>
              <w:tabs>
                <w:tab w:val="clear" w:pos="4153"/>
                <w:tab w:val="clear" w:pos="8306"/>
              </w:tabs>
              <w:rPr>
                <w:rFonts w:asciiTheme="majorBidi" w:hAnsiTheme="majorBidi" w:cstheme="majorBidi"/>
                <w:sz w:val="22"/>
                <w:szCs w:val="22"/>
              </w:rPr>
            </w:pPr>
            <w:r w:rsidRPr="00D21D8C">
              <w:rPr>
                <w:rFonts w:asciiTheme="majorBidi" w:hAnsiTheme="majorBidi" w:cstheme="majorBidi"/>
                <w:color w:val="000000"/>
                <w:sz w:val="22"/>
                <w:szCs w:val="22"/>
                <w:u w:color="FFFFFF"/>
              </w:rPr>
              <w:t>Infecties en parasitaire aandoeningen</w:t>
            </w:r>
          </w:p>
        </w:tc>
        <w:tc>
          <w:tcPr>
            <w:tcW w:w="2110" w:type="dxa"/>
            <w:tcBorders>
              <w:top w:val="single" w:sz="4" w:space="0" w:color="000000"/>
              <w:left w:val="single" w:sz="4" w:space="0" w:color="000000"/>
              <w:bottom w:val="single" w:sz="4" w:space="0" w:color="000000"/>
              <w:right w:val="single" w:sz="4" w:space="0" w:color="000000"/>
            </w:tcBorders>
          </w:tcPr>
          <w:p w14:paraId="4225AAAA" w14:textId="547EFF69" w:rsidR="00DF5897" w:rsidRPr="00D21D8C" w:rsidRDefault="00DF5897">
            <w:pPr>
              <w:pStyle w:val="Koptekst"/>
              <w:keepNext/>
              <w:tabs>
                <w:tab w:val="clear" w:pos="4153"/>
                <w:tab w:val="clear" w:pos="8306"/>
              </w:tabs>
              <w:rPr>
                <w:rFonts w:asciiTheme="majorBidi" w:hAnsiTheme="majorBidi" w:cstheme="majorBidi"/>
                <w:sz w:val="22"/>
                <w:szCs w:val="22"/>
              </w:rPr>
            </w:pPr>
            <w:r w:rsidRPr="00D21D8C">
              <w:rPr>
                <w:rFonts w:asciiTheme="majorBidi" w:hAnsiTheme="majorBidi" w:cstheme="majorBidi"/>
                <w:color w:val="000000"/>
                <w:sz w:val="22"/>
                <w:szCs w:val="22"/>
                <w:u w:color="FFFFFF"/>
              </w:rPr>
              <w:t xml:space="preserve">Pneumonie </w:t>
            </w:r>
          </w:p>
        </w:tc>
        <w:tc>
          <w:tcPr>
            <w:tcW w:w="2677" w:type="dxa"/>
            <w:tcBorders>
              <w:top w:val="single" w:sz="4" w:space="0" w:color="000000"/>
              <w:left w:val="single" w:sz="4" w:space="0" w:color="000000"/>
              <w:bottom w:val="single" w:sz="4" w:space="0" w:color="000000"/>
              <w:right w:val="single" w:sz="4" w:space="0" w:color="000000"/>
            </w:tcBorders>
            <w:vAlign w:val="center"/>
          </w:tcPr>
          <w:p w14:paraId="3A112149" w14:textId="507B2E8C" w:rsidR="00DF5897" w:rsidRPr="00D21D8C" w:rsidRDefault="00DF5897">
            <w:pPr>
              <w:pStyle w:val="Koptekst"/>
              <w:keepNext/>
              <w:tabs>
                <w:tab w:val="clear" w:pos="4153"/>
                <w:tab w:val="clear" w:pos="8306"/>
              </w:tabs>
              <w:jc w:val="center"/>
              <w:rPr>
                <w:rFonts w:asciiTheme="majorBidi" w:hAnsiTheme="majorBidi" w:cstheme="majorBidi"/>
                <w:strike/>
                <w:sz w:val="22"/>
                <w:szCs w:val="22"/>
              </w:rPr>
            </w:pPr>
            <w:r w:rsidRPr="00D21D8C">
              <w:rPr>
                <w:rFonts w:asciiTheme="majorBidi" w:hAnsiTheme="majorBidi" w:cstheme="majorBidi"/>
                <w:color w:val="000000"/>
                <w:sz w:val="22"/>
                <w:szCs w:val="22"/>
                <w:u w:color="FFFFFF"/>
              </w:rPr>
              <w:t>Zeer vaak (13,8)</w:t>
            </w:r>
          </w:p>
        </w:tc>
        <w:tc>
          <w:tcPr>
            <w:tcW w:w="1423" w:type="dxa"/>
            <w:tcBorders>
              <w:top w:val="single" w:sz="4" w:space="0" w:color="000000"/>
              <w:left w:val="single" w:sz="4" w:space="0" w:color="000000"/>
              <w:bottom w:val="single" w:sz="4" w:space="0" w:color="000000"/>
              <w:right w:val="single" w:sz="4" w:space="0" w:color="000000"/>
            </w:tcBorders>
            <w:vAlign w:val="center"/>
          </w:tcPr>
          <w:p w14:paraId="3E36CC14" w14:textId="20B58CF3" w:rsidR="00DF5897" w:rsidRPr="00D21D8C" w:rsidRDefault="00DF5897">
            <w:pPr>
              <w:pStyle w:val="Koptekst"/>
              <w:keepNext/>
              <w:tabs>
                <w:tab w:val="clear" w:pos="4153"/>
                <w:tab w:val="clear" w:pos="8306"/>
              </w:tabs>
              <w:jc w:val="center"/>
              <w:rPr>
                <w:rFonts w:asciiTheme="majorBidi" w:hAnsiTheme="majorBidi" w:cstheme="majorBidi"/>
                <w:sz w:val="22"/>
                <w:szCs w:val="22"/>
              </w:rPr>
            </w:pPr>
            <w:r w:rsidRPr="00D21D8C">
              <w:rPr>
                <w:rFonts w:asciiTheme="majorBidi" w:hAnsiTheme="majorBidi" w:cstheme="majorBidi"/>
                <w:color w:val="000000"/>
                <w:sz w:val="22"/>
                <w:szCs w:val="22"/>
                <w:u w:color="FFFFFF"/>
              </w:rPr>
              <w:t>9,0</w:t>
            </w:r>
          </w:p>
        </w:tc>
      </w:tr>
      <w:tr w:rsidR="00DF5897" w:rsidRPr="00D21D8C" w14:paraId="7DF9A27E" w14:textId="77777777" w:rsidTr="00987DB4">
        <w:tc>
          <w:tcPr>
            <w:tcW w:w="2615" w:type="dxa"/>
            <w:vMerge/>
            <w:tcBorders>
              <w:left w:val="single" w:sz="4" w:space="0" w:color="000000"/>
              <w:right w:val="single" w:sz="4" w:space="0" w:color="000000"/>
            </w:tcBorders>
          </w:tcPr>
          <w:p w14:paraId="0E2894E4" w14:textId="77777777" w:rsidR="00DF5897" w:rsidRPr="00D21D8C" w:rsidRDefault="00DF5897" w:rsidP="00A143DB">
            <w:pPr>
              <w:pStyle w:val="Koptekst"/>
              <w:keepNext/>
              <w:tabs>
                <w:tab w:val="clear" w:pos="4153"/>
                <w:tab w:val="clear" w:pos="8306"/>
              </w:tabs>
              <w:rPr>
                <w:rFonts w:asciiTheme="majorBidi" w:hAnsiTheme="majorBidi" w:cstheme="majorBidi"/>
                <w:sz w:val="22"/>
                <w:szCs w:val="22"/>
              </w:rPr>
            </w:pPr>
          </w:p>
        </w:tc>
        <w:tc>
          <w:tcPr>
            <w:tcW w:w="2110" w:type="dxa"/>
            <w:tcBorders>
              <w:top w:val="single" w:sz="4" w:space="0" w:color="000000"/>
              <w:left w:val="single" w:sz="4" w:space="0" w:color="000000"/>
              <w:bottom w:val="single" w:sz="4" w:space="0" w:color="000000"/>
              <w:right w:val="single" w:sz="4" w:space="0" w:color="000000"/>
            </w:tcBorders>
          </w:tcPr>
          <w:p w14:paraId="45E4AC6B" w14:textId="2D21B241" w:rsidR="00DF5897" w:rsidRPr="00D21D8C" w:rsidRDefault="00DF5897" w:rsidP="00A143DB">
            <w:pPr>
              <w:pStyle w:val="Koptekst"/>
              <w:keepNext/>
              <w:tabs>
                <w:tab w:val="clear" w:pos="4153"/>
                <w:tab w:val="clear" w:pos="8306"/>
              </w:tabs>
              <w:rPr>
                <w:rFonts w:asciiTheme="majorBidi" w:hAnsiTheme="majorBidi" w:cstheme="majorBidi"/>
                <w:color w:val="000000"/>
                <w:sz w:val="22"/>
                <w:szCs w:val="22"/>
                <w:u w:color="FFFFFF"/>
              </w:rPr>
            </w:pPr>
            <w:r w:rsidRPr="00D21D8C">
              <w:rPr>
                <w:rFonts w:asciiTheme="majorBidi" w:hAnsiTheme="majorBidi" w:cstheme="majorBidi"/>
                <w:color w:val="000000"/>
                <w:sz w:val="22"/>
                <w:szCs w:val="22"/>
                <w:u w:color="FFFFFF"/>
              </w:rPr>
              <w:t>Bovenste-luchtweginfectie</w:t>
            </w:r>
          </w:p>
        </w:tc>
        <w:tc>
          <w:tcPr>
            <w:tcW w:w="2677" w:type="dxa"/>
            <w:tcBorders>
              <w:top w:val="single" w:sz="4" w:space="0" w:color="000000"/>
              <w:left w:val="single" w:sz="4" w:space="0" w:color="000000"/>
              <w:bottom w:val="single" w:sz="4" w:space="0" w:color="000000"/>
              <w:right w:val="single" w:sz="4" w:space="0" w:color="000000"/>
            </w:tcBorders>
            <w:vAlign w:val="center"/>
          </w:tcPr>
          <w:p w14:paraId="70B76A8C" w14:textId="028B6926" w:rsidR="00DF5897" w:rsidRPr="00D21D8C" w:rsidRDefault="00DF5897" w:rsidP="00A143DB">
            <w:pPr>
              <w:pStyle w:val="Koptekst"/>
              <w:keepNext/>
              <w:tabs>
                <w:tab w:val="clear" w:pos="4153"/>
                <w:tab w:val="clear" w:pos="8306"/>
              </w:tabs>
              <w:jc w:val="center"/>
              <w:rPr>
                <w:rFonts w:asciiTheme="majorBidi" w:hAnsiTheme="majorBidi" w:cstheme="majorBidi"/>
                <w:color w:val="000000"/>
                <w:sz w:val="22"/>
                <w:szCs w:val="22"/>
                <w:u w:color="FFFFFF"/>
              </w:rPr>
            </w:pPr>
            <w:r w:rsidRPr="00D21D8C">
              <w:rPr>
                <w:rFonts w:asciiTheme="majorBidi" w:hAnsiTheme="majorBidi" w:cstheme="majorBidi"/>
                <w:color w:val="000000"/>
                <w:sz w:val="22"/>
                <w:szCs w:val="22"/>
                <w:u w:color="FFFFFF"/>
              </w:rPr>
              <w:t>Zeer vaak (10,1)</w:t>
            </w:r>
          </w:p>
        </w:tc>
        <w:tc>
          <w:tcPr>
            <w:tcW w:w="1423" w:type="dxa"/>
            <w:tcBorders>
              <w:top w:val="single" w:sz="4" w:space="0" w:color="000000"/>
              <w:left w:val="single" w:sz="4" w:space="0" w:color="000000"/>
              <w:bottom w:val="single" w:sz="4" w:space="0" w:color="000000"/>
              <w:right w:val="single" w:sz="4" w:space="0" w:color="000000"/>
            </w:tcBorders>
            <w:vAlign w:val="center"/>
          </w:tcPr>
          <w:p w14:paraId="477F695B" w14:textId="59CBF9BC" w:rsidR="00DF5897" w:rsidRPr="00D21D8C" w:rsidRDefault="00DF5897" w:rsidP="00A143DB">
            <w:pPr>
              <w:pStyle w:val="Koptekst"/>
              <w:keepNext/>
              <w:tabs>
                <w:tab w:val="clear" w:pos="4153"/>
                <w:tab w:val="clear" w:pos="8306"/>
              </w:tabs>
              <w:jc w:val="center"/>
              <w:rPr>
                <w:rFonts w:asciiTheme="majorBidi" w:hAnsiTheme="majorBidi" w:cstheme="majorBidi"/>
                <w:color w:val="000000"/>
                <w:sz w:val="22"/>
                <w:szCs w:val="22"/>
                <w:u w:color="FFFFFF"/>
              </w:rPr>
            </w:pPr>
            <w:r w:rsidRPr="00D21D8C">
              <w:rPr>
                <w:rFonts w:asciiTheme="majorBidi" w:hAnsiTheme="majorBidi" w:cstheme="majorBidi"/>
                <w:color w:val="000000"/>
                <w:sz w:val="22"/>
                <w:szCs w:val="22"/>
                <w:u w:color="FFFFFF"/>
              </w:rPr>
              <w:t>0,1</w:t>
            </w:r>
          </w:p>
        </w:tc>
      </w:tr>
      <w:tr w:rsidR="00DF5897" w:rsidRPr="00D21D8C" w14:paraId="6E0E89F5" w14:textId="77777777" w:rsidTr="00987DB4">
        <w:tc>
          <w:tcPr>
            <w:tcW w:w="2615" w:type="dxa"/>
            <w:vMerge/>
            <w:tcBorders>
              <w:left w:val="single" w:sz="4" w:space="0" w:color="000000"/>
              <w:bottom w:val="single" w:sz="4" w:space="0" w:color="000000"/>
              <w:right w:val="single" w:sz="4" w:space="0" w:color="000000"/>
            </w:tcBorders>
          </w:tcPr>
          <w:p w14:paraId="4CFE0F38" w14:textId="77777777" w:rsidR="00DF5897" w:rsidRPr="00D21D8C" w:rsidRDefault="00DF5897" w:rsidP="00D172DA">
            <w:pPr>
              <w:pStyle w:val="Koptekst"/>
              <w:keepNext/>
              <w:tabs>
                <w:tab w:val="clear" w:pos="4153"/>
                <w:tab w:val="clear" w:pos="8306"/>
              </w:tabs>
              <w:rPr>
                <w:rFonts w:asciiTheme="majorBidi" w:hAnsiTheme="majorBidi" w:cstheme="majorBidi"/>
                <w:sz w:val="22"/>
                <w:szCs w:val="22"/>
              </w:rPr>
            </w:pPr>
          </w:p>
        </w:tc>
        <w:tc>
          <w:tcPr>
            <w:tcW w:w="2110" w:type="dxa"/>
            <w:tcBorders>
              <w:top w:val="single" w:sz="4" w:space="0" w:color="000000"/>
              <w:left w:val="single" w:sz="4" w:space="0" w:color="000000"/>
              <w:bottom w:val="single" w:sz="4" w:space="0" w:color="000000"/>
              <w:right w:val="single" w:sz="4" w:space="0" w:color="000000"/>
            </w:tcBorders>
          </w:tcPr>
          <w:p w14:paraId="499ABD2C" w14:textId="77777777" w:rsidR="00DF5897" w:rsidRPr="00D21D8C" w:rsidRDefault="00DF5897" w:rsidP="00D172DA">
            <w:pPr>
              <w:pStyle w:val="Koptekst"/>
              <w:keepNext/>
              <w:tabs>
                <w:tab w:val="clear" w:pos="4153"/>
                <w:tab w:val="clear" w:pos="8306"/>
              </w:tabs>
              <w:rPr>
                <w:rFonts w:asciiTheme="majorBidi" w:hAnsiTheme="majorBidi" w:cstheme="majorBidi"/>
                <w:sz w:val="22"/>
                <w:szCs w:val="22"/>
              </w:rPr>
            </w:pPr>
            <w:r w:rsidRPr="00D21D8C">
              <w:rPr>
                <w:rFonts w:asciiTheme="majorBidi" w:hAnsiTheme="majorBidi" w:cstheme="majorBidi"/>
                <w:color w:val="000000"/>
                <w:sz w:val="22"/>
                <w:szCs w:val="22"/>
                <w:u w:color="FFFFFF"/>
              </w:rPr>
              <w:t xml:space="preserve">Urineweginfectie </w:t>
            </w:r>
          </w:p>
        </w:tc>
        <w:tc>
          <w:tcPr>
            <w:tcW w:w="2677" w:type="dxa"/>
            <w:tcBorders>
              <w:top w:val="single" w:sz="4" w:space="0" w:color="000000"/>
              <w:left w:val="single" w:sz="4" w:space="0" w:color="000000"/>
              <w:bottom w:val="single" w:sz="4" w:space="0" w:color="000000"/>
              <w:right w:val="single" w:sz="4" w:space="0" w:color="000000"/>
            </w:tcBorders>
            <w:vAlign w:val="center"/>
          </w:tcPr>
          <w:p w14:paraId="5058150E" w14:textId="6FED02D1" w:rsidR="00DF5897" w:rsidRPr="00D21D8C" w:rsidRDefault="00DF5897" w:rsidP="00D172DA">
            <w:pPr>
              <w:pStyle w:val="Koptekst"/>
              <w:keepNext/>
              <w:tabs>
                <w:tab w:val="clear" w:pos="4153"/>
                <w:tab w:val="clear" w:pos="8306"/>
              </w:tabs>
              <w:jc w:val="center"/>
              <w:rPr>
                <w:rFonts w:asciiTheme="majorBidi" w:hAnsiTheme="majorBidi" w:cstheme="majorBidi"/>
                <w:strike/>
                <w:sz w:val="22"/>
                <w:szCs w:val="22"/>
              </w:rPr>
            </w:pPr>
            <w:r w:rsidRPr="00D21D8C">
              <w:rPr>
                <w:rFonts w:asciiTheme="majorBidi" w:hAnsiTheme="majorBidi" w:cstheme="majorBidi"/>
                <w:color w:val="000000"/>
                <w:sz w:val="22"/>
                <w:szCs w:val="22"/>
                <w:u w:color="FFFFFF"/>
              </w:rPr>
              <w:t>Vaak (9,9)</w:t>
            </w:r>
          </w:p>
        </w:tc>
        <w:tc>
          <w:tcPr>
            <w:tcW w:w="1423" w:type="dxa"/>
            <w:tcBorders>
              <w:top w:val="single" w:sz="4" w:space="0" w:color="000000"/>
              <w:left w:val="single" w:sz="4" w:space="0" w:color="000000"/>
              <w:bottom w:val="single" w:sz="4" w:space="0" w:color="000000"/>
              <w:right w:val="single" w:sz="4" w:space="0" w:color="000000"/>
            </w:tcBorders>
            <w:vAlign w:val="center"/>
          </w:tcPr>
          <w:p w14:paraId="5E2C8C48" w14:textId="72920322" w:rsidR="00DF5897" w:rsidRPr="00D21D8C" w:rsidRDefault="00DF5897" w:rsidP="00D172DA">
            <w:pPr>
              <w:pStyle w:val="Koptekst"/>
              <w:keepNext/>
              <w:tabs>
                <w:tab w:val="clear" w:pos="4153"/>
                <w:tab w:val="clear" w:pos="8306"/>
              </w:tabs>
              <w:jc w:val="center"/>
              <w:rPr>
                <w:rFonts w:asciiTheme="majorBidi" w:hAnsiTheme="majorBidi" w:cstheme="majorBidi"/>
                <w:sz w:val="22"/>
                <w:szCs w:val="22"/>
              </w:rPr>
            </w:pPr>
            <w:r w:rsidRPr="00D21D8C">
              <w:rPr>
                <w:rFonts w:asciiTheme="majorBidi" w:hAnsiTheme="majorBidi" w:cstheme="majorBidi"/>
                <w:color w:val="000000"/>
                <w:sz w:val="22"/>
                <w:szCs w:val="22"/>
                <w:u w:color="FFFFFF"/>
              </w:rPr>
              <w:t>1,4</w:t>
            </w:r>
          </w:p>
        </w:tc>
      </w:tr>
      <w:tr w:rsidR="00D172DA" w:rsidRPr="00D21D8C" w14:paraId="4AED3DF2" w14:textId="77777777" w:rsidTr="00DF69E6">
        <w:tc>
          <w:tcPr>
            <w:tcW w:w="2615" w:type="dxa"/>
            <w:vMerge w:val="restart"/>
            <w:tcBorders>
              <w:top w:val="single" w:sz="4" w:space="0" w:color="000000"/>
              <w:left w:val="single" w:sz="4" w:space="0" w:color="000000"/>
              <w:bottom w:val="single" w:sz="4" w:space="0" w:color="000000"/>
              <w:right w:val="single" w:sz="4" w:space="0" w:color="000000"/>
            </w:tcBorders>
          </w:tcPr>
          <w:p w14:paraId="5F2343EE" w14:textId="77777777" w:rsidR="00D172DA" w:rsidRPr="00D21D8C" w:rsidRDefault="00D172DA" w:rsidP="00D172DA">
            <w:pPr>
              <w:pStyle w:val="Koptekst"/>
              <w:keepNext/>
              <w:tabs>
                <w:tab w:val="clear" w:pos="4153"/>
                <w:tab w:val="clear" w:pos="8306"/>
              </w:tabs>
              <w:rPr>
                <w:rFonts w:asciiTheme="majorBidi" w:hAnsiTheme="majorBidi" w:cstheme="majorBidi"/>
                <w:sz w:val="22"/>
                <w:szCs w:val="22"/>
              </w:rPr>
            </w:pPr>
            <w:r w:rsidRPr="00D21D8C">
              <w:rPr>
                <w:rFonts w:asciiTheme="majorBidi" w:hAnsiTheme="majorBidi" w:cstheme="majorBidi"/>
                <w:color w:val="000000"/>
                <w:sz w:val="22"/>
                <w:szCs w:val="22"/>
                <w:u w:color="FFFFFF"/>
              </w:rPr>
              <w:t>Bloed- en lymfestelselaandoeningen</w:t>
            </w:r>
          </w:p>
        </w:tc>
        <w:tc>
          <w:tcPr>
            <w:tcW w:w="2110" w:type="dxa"/>
            <w:tcBorders>
              <w:top w:val="single" w:sz="4" w:space="0" w:color="000000"/>
              <w:left w:val="single" w:sz="4" w:space="0" w:color="000000"/>
              <w:bottom w:val="single" w:sz="4" w:space="0" w:color="000000"/>
              <w:right w:val="single" w:sz="4" w:space="0" w:color="000000"/>
            </w:tcBorders>
          </w:tcPr>
          <w:p w14:paraId="66F1E1E4" w14:textId="77777777" w:rsidR="00D172DA" w:rsidRPr="00D21D8C" w:rsidRDefault="00D172DA" w:rsidP="00D172DA">
            <w:pPr>
              <w:pStyle w:val="Koptekst"/>
              <w:keepNext/>
              <w:tabs>
                <w:tab w:val="clear" w:pos="4153"/>
                <w:tab w:val="clear" w:pos="8306"/>
              </w:tabs>
              <w:rPr>
                <w:rFonts w:asciiTheme="majorBidi" w:hAnsiTheme="majorBidi" w:cstheme="majorBidi"/>
                <w:sz w:val="22"/>
                <w:szCs w:val="22"/>
                <w:vertAlign w:val="superscript"/>
              </w:rPr>
            </w:pPr>
            <w:r w:rsidRPr="00D21D8C">
              <w:rPr>
                <w:rFonts w:asciiTheme="majorBidi" w:hAnsiTheme="majorBidi" w:cstheme="majorBidi"/>
                <w:color w:val="000000"/>
                <w:sz w:val="22"/>
                <w:szCs w:val="22"/>
                <w:u w:color="FFFFFF"/>
              </w:rPr>
              <w:t>Neutropenie</w:t>
            </w:r>
            <w:r w:rsidRPr="00D21D8C">
              <w:rPr>
                <w:rFonts w:asciiTheme="majorBidi" w:hAnsiTheme="majorBidi" w:cstheme="majorBidi"/>
                <w:color w:val="000000"/>
                <w:sz w:val="22"/>
                <w:szCs w:val="22"/>
                <w:u w:color="FFFFFF"/>
                <w:vertAlign w:val="superscript"/>
              </w:rPr>
              <w:t>b</w:t>
            </w:r>
          </w:p>
        </w:tc>
        <w:tc>
          <w:tcPr>
            <w:tcW w:w="2677" w:type="dxa"/>
            <w:tcBorders>
              <w:top w:val="single" w:sz="4" w:space="0" w:color="000000"/>
              <w:left w:val="single" w:sz="4" w:space="0" w:color="000000"/>
              <w:bottom w:val="single" w:sz="4" w:space="0" w:color="000000"/>
              <w:right w:val="single" w:sz="4" w:space="0" w:color="000000"/>
            </w:tcBorders>
            <w:vAlign w:val="center"/>
          </w:tcPr>
          <w:p w14:paraId="6873DF43" w14:textId="3F4B4F67" w:rsidR="00D172DA" w:rsidRPr="00D21D8C" w:rsidRDefault="00D172DA" w:rsidP="00D172DA">
            <w:pPr>
              <w:pStyle w:val="Koptekst"/>
              <w:keepNext/>
              <w:tabs>
                <w:tab w:val="clear" w:pos="4153"/>
                <w:tab w:val="clear" w:pos="8306"/>
              </w:tabs>
              <w:jc w:val="center"/>
              <w:rPr>
                <w:rFonts w:asciiTheme="majorBidi" w:hAnsiTheme="majorBidi" w:cstheme="majorBidi"/>
                <w:strike/>
                <w:sz w:val="22"/>
                <w:szCs w:val="22"/>
              </w:rPr>
            </w:pPr>
            <w:r w:rsidRPr="00D21D8C">
              <w:rPr>
                <w:rFonts w:asciiTheme="majorBidi" w:hAnsiTheme="majorBidi" w:cstheme="majorBidi"/>
                <w:color w:val="000000"/>
                <w:sz w:val="22"/>
                <w:szCs w:val="22"/>
                <w:u w:color="FFFFFF"/>
              </w:rPr>
              <w:t>Zeer vaak (</w:t>
            </w:r>
            <w:r w:rsidR="00686C9E" w:rsidRPr="00D21D8C">
              <w:rPr>
                <w:rFonts w:asciiTheme="majorBidi" w:hAnsiTheme="majorBidi" w:cstheme="majorBidi"/>
                <w:color w:val="000000"/>
                <w:sz w:val="22"/>
                <w:szCs w:val="22"/>
                <w:u w:color="FFFFFF"/>
              </w:rPr>
              <w:t>27,7</w:t>
            </w:r>
            <w:r w:rsidRPr="00D21D8C">
              <w:rPr>
                <w:rFonts w:asciiTheme="majorBidi" w:hAnsiTheme="majorBidi" w:cstheme="majorBidi"/>
                <w:color w:val="000000"/>
                <w:sz w:val="22"/>
                <w:szCs w:val="22"/>
                <w:u w:color="FFFFFF"/>
              </w:rPr>
              <w:t>)</w:t>
            </w:r>
          </w:p>
        </w:tc>
        <w:tc>
          <w:tcPr>
            <w:tcW w:w="1423" w:type="dxa"/>
            <w:tcBorders>
              <w:top w:val="single" w:sz="4" w:space="0" w:color="000000"/>
              <w:left w:val="single" w:sz="4" w:space="0" w:color="000000"/>
              <w:bottom w:val="single" w:sz="4" w:space="0" w:color="000000"/>
              <w:right w:val="single" w:sz="4" w:space="0" w:color="000000"/>
            </w:tcBorders>
            <w:vAlign w:val="center"/>
          </w:tcPr>
          <w:p w14:paraId="4048FBB6" w14:textId="4731F284" w:rsidR="00D172DA" w:rsidRPr="00D21D8C" w:rsidRDefault="00686C9E" w:rsidP="00D172DA">
            <w:pPr>
              <w:pStyle w:val="Koptekst"/>
              <w:keepNext/>
              <w:tabs>
                <w:tab w:val="clear" w:pos="4153"/>
                <w:tab w:val="clear" w:pos="8306"/>
              </w:tabs>
              <w:jc w:val="center"/>
              <w:rPr>
                <w:rFonts w:asciiTheme="majorBidi" w:hAnsiTheme="majorBidi" w:cstheme="majorBidi"/>
                <w:sz w:val="22"/>
                <w:szCs w:val="22"/>
              </w:rPr>
            </w:pPr>
            <w:r w:rsidRPr="00D21D8C">
              <w:rPr>
                <w:rFonts w:asciiTheme="majorBidi" w:hAnsiTheme="majorBidi" w:cstheme="majorBidi"/>
                <w:color w:val="000000"/>
                <w:sz w:val="22"/>
                <w:szCs w:val="22"/>
                <w:u w:color="FFFFFF"/>
              </w:rPr>
              <w:t>23,9</w:t>
            </w:r>
          </w:p>
        </w:tc>
      </w:tr>
      <w:tr w:rsidR="00D172DA" w:rsidRPr="00D21D8C" w14:paraId="2DE2A60F" w14:textId="77777777" w:rsidTr="00DF69E6">
        <w:tc>
          <w:tcPr>
            <w:tcW w:w="2615" w:type="dxa"/>
            <w:vMerge/>
            <w:tcBorders>
              <w:top w:val="single" w:sz="4" w:space="0" w:color="000000"/>
              <w:left w:val="single" w:sz="4" w:space="0" w:color="000000"/>
              <w:bottom w:val="single" w:sz="4" w:space="0" w:color="000000"/>
              <w:right w:val="single" w:sz="4" w:space="0" w:color="000000"/>
            </w:tcBorders>
          </w:tcPr>
          <w:p w14:paraId="0A6E5C09" w14:textId="77777777" w:rsidR="00D172DA" w:rsidRPr="00D21D8C" w:rsidRDefault="00D172DA" w:rsidP="00D172DA">
            <w:pPr>
              <w:pStyle w:val="Koptekst"/>
              <w:keepNext/>
              <w:tabs>
                <w:tab w:val="clear" w:pos="4153"/>
                <w:tab w:val="clear" w:pos="8306"/>
              </w:tabs>
              <w:rPr>
                <w:rFonts w:asciiTheme="majorBidi" w:hAnsiTheme="majorBidi" w:cstheme="majorBidi"/>
                <w:sz w:val="22"/>
                <w:szCs w:val="22"/>
              </w:rPr>
            </w:pPr>
          </w:p>
        </w:tc>
        <w:tc>
          <w:tcPr>
            <w:tcW w:w="2110" w:type="dxa"/>
            <w:tcBorders>
              <w:top w:val="single" w:sz="4" w:space="0" w:color="000000"/>
              <w:left w:val="single" w:sz="4" w:space="0" w:color="000000"/>
              <w:bottom w:val="single" w:sz="4" w:space="0" w:color="000000"/>
              <w:right w:val="single" w:sz="4" w:space="0" w:color="000000"/>
            </w:tcBorders>
          </w:tcPr>
          <w:p w14:paraId="46CD870E" w14:textId="22CC90E9" w:rsidR="00D172DA" w:rsidRPr="00D21D8C" w:rsidRDefault="00C975C7" w:rsidP="00D172DA">
            <w:pPr>
              <w:pStyle w:val="Koptekst"/>
              <w:keepNext/>
              <w:tabs>
                <w:tab w:val="clear" w:pos="4153"/>
                <w:tab w:val="clear" w:pos="8306"/>
              </w:tabs>
              <w:rPr>
                <w:rFonts w:asciiTheme="majorBidi" w:hAnsiTheme="majorBidi" w:cstheme="majorBidi"/>
                <w:sz w:val="22"/>
                <w:szCs w:val="22"/>
                <w:vertAlign w:val="superscript"/>
              </w:rPr>
            </w:pPr>
            <w:r w:rsidRPr="00D21D8C">
              <w:rPr>
                <w:rFonts w:asciiTheme="majorBidi" w:hAnsiTheme="majorBidi" w:cstheme="majorBidi"/>
                <w:color w:val="000000"/>
                <w:sz w:val="22"/>
                <w:szCs w:val="22"/>
                <w:u w:color="FFFFFF"/>
              </w:rPr>
              <w:t>Anemie</w:t>
            </w:r>
            <w:r w:rsidRPr="00D21D8C">
              <w:rPr>
                <w:rFonts w:asciiTheme="majorBidi" w:hAnsiTheme="majorBidi" w:cstheme="majorBidi"/>
                <w:color w:val="000000"/>
                <w:sz w:val="22"/>
                <w:szCs w:val="22"/>
                <w:u w:color="FFFFFF"/>
                <w:vertAlign w:val="superscript"/>
              </w:rPr>
              <w:t>b</w:t>
            </w:r>
            <w:r w:rsidRPr="00D21D8C" w:rsidDel="00C975C7">
              <w:rPr>
                <w:rFonts w:asciiTheme="majorBidi" w:hAnsiTheme="majorBidi" w:cstheme="majorBidi"/>
                <w:color w:val="000000"/>
                <w:sz w:val="22"/>
                <w:szCs w:val="22"/>
                <w:u w:color="FFFFFF"/>
              </w:rPr>
              <w:t xml:space="preserve"> </w:t>
            </w:r>
          </w:p>
        </w:tc>
        <w:tc>
          <w:tcPr>
            <w:tcW w:w="2677" w:type="dxa"/>
            <w:tcBorders>
              <w:top w:val="single" w:sz="4" w:space="0" w:color="000000"/>
              <w:left w:val="single" w:sz="4" w:space="0" w:color="000000"/>
              <w:bottom w:val="single" w:sz="4" w:space="0" w:color="000000"/>
              <w:right w:val="single" w:sz="4" w:space="0" w:color="000000"/>
            </w:tcBorders>
            <w:vAlign w:val="center"/>
          </w:tcPr>
          <w:p w14:paraId="55C3105B" w14:textId="1CDFFE88" w:rsidR="00D172DA" w:rsidRPr="00D21D8C" w:rsidRDefault="00D172DA" w:rsidP="00D172DA">
            <w:pPr>
              <w:pStyle w:val="Koptekst"/>
              <w:keepNext/>
              <w:tabs>
                <w:tab w:val="clear" w:pos="4153"/>
                <w:tab w:val="clear" w:pos="8306"/>
              </w:tabs>
              <w:jc w:val="center"/>
              <w:rPr>
                <w:rFonts w:asciiTheme="majorBidi" w:hAnsiTheme="majorBidi" w:cstheme="majorBidi"/>
                <w:strike/>
                <w:sz w:val="22"/>
                <w:szCs w:val="22"/>
              </w:rPr>
            </w:pPr>
            <w:r w:rsidRPr="00D21D8C">
              <w:rPr>
                <w:rFonts w:asciiTheme="majorBidi" w:hAnsiTheme="majorBidi" w:cstheme="majorBidi"/>
                <w:color w:val="000000"/>
                <w:sz w:val="22"/>
                <w:szCs w:val="22"/>
                <w:u w:color="FFFFFF"/>
              </w:rPr>
              <w:t>Zeer vaak (</w:t>
            </w:r>
            <w:r w:rsidR="00C975C7" w:rsidRPr="00D21D8C">
              <w:rPr>
                <w:rFonts w:asciiTheme="majorBidi" w:hAnsiTheme="majorBidi" w:cstheme="majorBidi"/>
                <w:color w:val="000000"/>
                <w:sz w:val="22"/>
                <w:szCs w:val="22"/>
                <w:u w:color="FFFFFF"/>
              </w:rPr>
              <w:t>20,7</w:t>
            </w:r>
            <w:r w:rsidRPr="00D21D8C">
              <w:rPr>
                <w:rFonts w:asciiTheme="majorBidi" w:hAnsiTheme="majorBidi" w:cstheme="majorBidi"/>
                <w:color w:val="000000"/>
                <w:sz w:val="22"/>
                <w:szCs w:val="22"/>
                <w:u w:color="FFFFFF"/>
              </w:rPr>
              <w:t>)</w:t>
            </w:r>
          </w:p>
        </w:tc>
        <w:tc>
          <w:tcPr>
            <w:tcW w:w="1423" w:type="dxa"/>
            <w:tcBorders>
              <w:top w:val="single" w:sz="4" w:space="0" w:color="000000"/>
              <w:left w:val="single" w:sz="4" w:space="0" w:color="000000"/>
              <w:bottom w:val="single" w:sz="4" w:space="0" w:color="000000"/>
              <w:right w:val="single" w:sz="4" w:space="0" w:color="000000"/>
            </w:tcBorders>
            <w:vAlign w:val="center"/>
          </w:tcPr>
          <w:p w14:paraId="37575EF5" w14:textId="5834709C" w:rsidR="00D172DA" w:rsidRPr="00D21D8C" w:rsidRDefault="004018D5" w:rsidP="00D172DA">
            <w:pPr>
              <w:pStyle w:val="Koptekst"/>
              <w:keepNext/>
              <w:tabs>
                <w:tab w:val="clear" w:pos="4153"/>
                <w:tab w:val="clear" w:pos="8306"/>
              </w:tabs>
              <w:jc w:val="center"/>
              <w:rPr>
                <w:rFonts w:asciiTheme="majorBidi" w:hAnsiTheme="majorBidi" w:cstheme="majorBidi"/>
                <w:sz w:val="22"/>
                <w:szCs w:val="22"/>
              </w:rPr>
            </w:pPr>
            <w:r w:rsidRPr="00D21D8C">
              <w:rPr>
                <w:rFonts w:asciiTheme="majorBidi" w:hAnsiTheme="majorBidi" w:cstheme="majorBidi"/>
                <w:color w:val="000000"/>
                <w:sz w:val="22"/>
                <w:szCs w:val="22"/>
                <w:u w:color="FFFFFF"/>
              </w:rPr>
              <w:t>11,2</w:t>
            </w:r>
          </w:p>
        </w:tc>
      </w:tr>
      <w:tr w:rsidR="00D172DA" w:rsidRPr="00D21D8C" w14:paraId="0A21B9D3" w14:textId="77777777" w:rsidTr="00DF69E6">
        <w:tc>
          <w:tcPr>
            <w:tcW w:w="2615" w:type="dxa"/>
            <w:vMerge/>
            <w:tcBorders>
              <w:top w:val="single" w:sz="4" w:space="0" w:color="000000"/>
              <w:left w:val="single" w:sz="4" w:space="0" w:color="000000"/>
              <w:bottom w:val="single" w:sz="4" w:space="0" w:color="000000"/>
              <w:right w:val="single" w:sz="4" w:space="0" w:color="000000"/>
            </w:tcBorders>
          </w:tcPr>
          <w:p w14:paraId="6B096B1B" w14:textId="77777777" w:rsidR="00D172DA" w:rsidRPr="00D21D8C" w:rsidRDefault="00D172DA" w:rsidP="00D172DA">
            <w:pPr>
              <w:pStyle w:val="Koptekst"/>
              <w:keepNext/>
              <w:tabs>
                <w:tab w:val="clear" w:pos="4153"/>
                <w:tab w:val="clear" w:pos="8306"/>
              </w:tabs>
              <w:rPr>
                <w:rFonts w:asciiTheme="majorBidi" w:hAnsiTheme="majorBidi" w:cstheme="majorBidi"/>
                <w:sz w:val="22"/>
                <w:szCs w:val="22"/>
              </w:rPr>
            </w:pPr>
          </w:p>
        </w:tc>
        <w:tc>
          <w:tcPr>
            <w:tcW w:w="2110" w:type="dxa"/>
            <w:tcBorders>
              <w:top w:val="single" w:sz="4" w:space="0" w:color="000000"/>
              <w:left w:val="single" w:sz="4" w:space="0" w:color="000000"/>
              <w:bottom w:val="single" w:sz="4" w:space="0" w:color="000000"/>
              <w:right w:val="single" w:sz="4" w:space="0" w:color="000000"/>
            </w:tcBorders>
          </w:tcPr>
          <w:p w14:paraId="635EECF5" w14:textId="626AB69C" w:rsidR="00D172DA" w:rsidRPr="00D21D8C" w:rsidRDefault="00C975C7" w:rsidP="00D172DA">
            <w:pPr>
              <w:pStyle w:val="Koptekst"/>
              <w:keepNext/>
              <w:tabs>
                <w:tab w:val="clear" w:pos="4153"/>
                <w:tab w:val="clear" w:pos="8306"/>
              </w:tabs>
              <w:rPr>
                <w:rFonts w:asciiTheme="majorBidi" w:hAnsiTheme="majorBidi" w:cstheme="majorBidi"/>
                <w:sz w:val="22"/>
                <w:szCs w:val="22"/>
                <w:vertAlign w:val="superscript"/>
              </w:rPr>
            </w:pPr>
            <w:r w:rsidRPr="00D21D8C">
              <w:rPr>
                <w:rFonts w:asciiTheme="majorBidi" w:hAnsiTheme="majorBidi" w:cstheme="majorBidi"/>
                <w:color w:val="000000"/>
                <w:sz w:val="22"/>
                <w:szCs w:val="22"/>
                <w:u w:color="FFFFFF"/>
              </w:rPr>
              <w:t>Trombocytopenie</w:t>
            </w:r>
            <w:r w:rsidRPr="00D21D8C">
              <w:rPr>
                <w:rFonts w:asciiTheme="majorBidi" w:hAnsiTheme="majorBidi" w:cstheme="majorBidi"/>
                <w:color w:val="000000"/>
                <w:sz w:val="22"/>
                <w:szCs w:val="22"/>
                <w:u w:color="FFFFFF"/>
                <w:vertAlign w:val="superscript"/>
              </w:rPr>
              <w:t>b</w:t>
            </w:r>
            <w:r w:rsidRPr="00D21D8C">
              <w:rPr>
                <w:rFonts w:asciiTheme="majorBidi" w:hAnsiTheme="majorBidi" w:cstheme="majorBidi"/>
                <w:color w:val="000000"/>
                <w:sz w:val="22"/>
                <w:szCs w:val="22"/>
                <w:u w:color="FFFFFF"/>
              </w:rPr>
              <w:t xml:space="preserve"> </w:t>
            </w:r>
          </w:p>
        </w:tc>
        <w:tc>
          <w:tcPr>
            <w:tcW w:w="2677" w:type="dxa"/>
            <w:tcBorders>
              <w:top w:val="single" w:sz="4" w:space="0" w:color="000000"/>
              <w:left w:val="single" w:sz="4" w:space="0" w:color="000000"/>
              <w:bottom w:val="single" w:sz="4" w:space="0" w:color="000000"/>
              <w:right w:val="single" w:sz="4" w:space="0" w:color="000000"/>
            </w:tcBorders>
            <w:vAlign w:val="center"/>
          </w:tcPr>
          <w:p w14:paraId="4BB56079" w14:textId="32EC6CE4" w:rsidR="00D172DA" w:rsidRPr="00D21D8C" w:rsidRDefault="00D172DA" w:rsidP="00D172DA">
            <w:pPr>
              <w:pStyle w:val="Koptekst"/>
              <w:keepNext/>
              <w:tabs>
                <w:tab w:val="clear" w:pos="4153"/>
                <w:tab w:val="clear" w:pos="8306"/>
              </w:tabs>
              <w:jc w:val="center"/>
              <w:rPr>
                <w:rFonts w:asciiTheme="majorBidi" w:hAnsiTheme="majorBidi" w:cstheme="majorBidi"/>
                <w:strike/>
                <w:sz w:val="22"/>
                <w:szCs w:val="22"/>
              </w:rPr>
            </w:pPr>
            <w:r w:rsidRPr="00D21D8C">
              <w:rPr>
                <w:rFonts w:asciiTheme="majorBidi" w:hAnsiTheme="majorBidi" w:cstheme="majorBidi"/>
                <w:color w:val="000000"/>
                <w:sz w:val="22"/>
                <w:szCs w:val="22"/>
                <w:u w:color="FFFFFF"/>
              </w:rPr>
              <w:t>Zeer vaak (</w:t>
            </w:r>
            <w:r w:rsidR="004018D5" w:rsidRPr="00D21D8C">
              <w:rPr>
                <w:rFonts w:asciiTheme="majorBidi" w:hAnsiTheme="majorBidi" w:cstheme="majorBidi"/>
                <w:color w:val="000000"/>
                <w:sz w:val="22"/>
                <w:szCs w:val="22"/>
                <w:u w:color="FFFFFF"/>
              </w:rPr>
              <w:t>16,8</w:t>
            </w:r>
            <w:r w:rsidRPr="00D21D8C">
              <w:rPr>
                <w:rFonts w:asciiTheme="majorBidi" w:hAnsiTheme="majorBidi" w:cstheme="majorBidi"/>
                <w:color w:val="000000"/>
                <w:sz w:val="22"/>
                <w:szCs w:val="22"/>
                <w:u w:color="FFFFFF"/>
              </w:rPr>
              <w:t>)</w:t>
            </w:r>
          </w:p>
        </w:tc>
        <w:tc>
          <w:tcPr>
            <w:tcW w:w="1423" w:type="dxa"/>
            <w:tcBorders>
              <w:top w:val="single" w:sz="4" w:space="0" w:color="000000"/>
              <w:left w:val="single" w:sz="4" w:space="0" w:color="000000"/>
              <w:bottom w:val="single" w:sz="4" w:space="0" w:color="000000"/>
              <w:right w:val="single" w:sz="4" w:space="0" w:color="000000"/>
            </w:tcBorders>
            <w:vAlign w:val="center"/>
          </w:tcPr>
          <w:p w14:paraId="0842EA43" w14:textId="331A4816" w:rsidR="00D172DA" w:rsidRPr="00D21D8C" w:rsidRDefault="004018D5" w:rsidP="00D172DA">
            <w:pPr>
              <w:pStyle w:val="Koptekst"/>
              <w:keepNext/>
              <w:tabs>
                <w:tab w:val="clear" w:pos="4153"/>
                <w:tab w:val="clear" w:pos="8306"/>
              </w:tabs>
              <w:jc w:val="center"/>
              <w:rPr>
                <w:rFonts w:asciiTheme="majorBidi" w:hAnsiTheme="majorBidi" w:cstheme="majorBidi"/>
                <w:sz w:val="22"/>
                <w:szCs w:val="22"/>
              </w:rPr>
            </w:pPr>
            <w:r w:rsidRPr="00D21D8C">
              <w:rPr>
                <w:rFonts w:asciiTheme="majorBidi" w:hAnsiTheme="majorBidi" w:cstheme="majorBidi"/>
                <w:color w:val="000000"/>
                <w:sz w:val="22"/>
                <w:szCs w:val="22"/>
                <w:u w:color="FFFFFF"/>
              </w:rPr>
              <w:t>9,7</w:t>
            </w:r>
          </w:p>
        </w:tc>
      </w:tr>
      <w:tr w:rsidR="00D172DA" w:rsidRPr="00D21D8C" w14:paraId="58911CFA" w14:textId="77777777" w:rsidTr="00DF69E6">
        <w:tc>
          <w:tcPr>
            <w:tcW w:w="2615" w:type="dxa"/>
            <w:vMerge/>
            <w:tcBorders>
              <w:top w:val="single" w:sz="4" w:space="0" w:color="000000"/>
              <w:left w:val="single" w:sz="4" w:space="0" w:color="000000"/>
              <w:bottom w:val="single" w:sz="4" w:space="0" w:color="000000"/>
              <w:right w:val="single" w:sz="4" w:space="0" w:color="000000"/>
            </w:tcBorders>
          </w:tcPr>
          <w:p w14:paraId="4AE290F1" w14:textId="77777777" w:rsidR="00D172DA" w:rsidRPr="00D21D8C" w:rsidRDefault="00D172DA" w:rsidP="00D172DA">
            <w:pPr>
              <w:pStyle w:val="Koptekst"/>
              <w:keepNext/>
              <w:tabs>
                <w:tab w:val="clear" w:pos="4153"/>
                <w:tab w:val="clear" w:pos="8306"/>
              </w:tabs>
              <w:rPr>
                <w:rFonts w:asciiTheme="majorBidi" w:hAnsiTheme="majorBidi" w:cstheme="majorBidi"/>
                <w:sz w:val="22"/>
                <w:szCs w:val="22"/>
              </w:rPr>
            </w:pPr>
          </w:p>
        </w:tc>
        <w:tc>
          <w:tcPr>
            <w:tcW w:w="2110" w:type="dxa"/>
            <w:tcBorders>
              <w:top w:val="single" w:sz="4" w:space="0" w:color="000000"/>
              <w:left w:val="single" w:sz="4" w:space="0" w:color="000000"/>
              <w:bottom w:val="single" w:sz="4" w:space="0" w:color="000000"/>
              <w:right w:val="single" w:sz="4" w:space="0" w:color="000000"/>
            </w:tcBorders>
          </w:tcPr>
          <w:p w14:paraId="70DF5DB7" w14:textId="77777777" w:rsidR="00D172DA" w:rsidRPr="00D21D8C" w:rsidRDefault="00D172DA" w:rsidP="00D172DA">
            <w:pPr>
              <w:pStyle w:val="Koptekst"/>
              <w:keepNext/>
              <w:tabs>
                <w:tab w:val="clear" w:pos="4153"/>
                <w:tab w:val="clear" w:pos="8306"/>
              </w:tabs>
              <w:rPr>
                <w:rFonts w:asciiTheme="majorBidi" w:hAnsiTheme="majorBidi" w:cstheme="majorBidi"/>
                <w:sz w:val="22"/>
                <w:szCs w:val="22"/>
              </w:rPr>
            </w:pPr>
            <w:r w:rsidRPr="00D21D8C">
              <w:rPr>
                <w:rFonts w:asciiTheme="majorBidi" w:hAnsiTheme="majorBidi" w:cstheme="majorBidi"/>
                <w:color w:val="000000"/>
                <w:sz w:val="22"/>
                <w:szCs w:val="22"/>
                <w:u w:color="FFFFFF"/>
              </w:rPr>
              <w:t>Lymfocytose</w:t>
            </w:r>
            <w:r w:rsidRPr="00D21D8C">
              <w:rPr>
                <w:rFonts w:asciiTheme="majorBidi" w:hAnsiTheme="majorBidi" w:cstheme="majorBidi"/>
                <w:color w:val="000000"/>
                <w:sz w:val="22"/>
                <w:szCs w:val="22"/>
                <w:u w:color="FFFFFF"/>
                <w:vertAlign w:val="superscript"/>
              </w:rPr>
              <w:t>b</w:t>
            </w:r>
          </w:p>
        </w:tc>
        <w:tc>
          <w:tcPr>
            <w:tcW w:w="2677" w:type="dxa"/>
            <w:tcBorders>
              <w:top w:val="single" w:sz="4" w:space="0" w:color="000000"/>
              <w:left w:val="single" w:sz="4" w:space="0" w:color="000000"/>
              <w:bottom w:val="single" w:sz="4" w:space="0" w:color="000000"/>
              <w:right w:val="single" w:sz="4" w:space="0" w:color="000000"/>
            </w:tcBorders>
            <w:vAlign w:val="center"/>
          </w:tcPr>
          <w:p w14:paraId="441B3276" w14:textId="124C44FE" w:rsidR="00D172DA" w:rsidRPr="00D21D8C" w:rsidRDefault="00D172DA" w:rsidP="00D172DA">
            <w:pPr>
              <w:pStyle w:val="Koptekst"/>
              <w:keepNext/>
              <w:tabs>
                <w:tab w:val="clear" w:pos="4153"/>
                <w:tab w:val="clear" w:pos="8306"/>
              </w:tabs>
              <w:jc w:val="center"/>
              <w:rPr>
                <w:rFonts w:asciiTheme="majorBidi" w:hAnsiTheme="majorBidi" w:cstheme="majorBidi"/>
                <w:strike/>
                <w:sz w:val="22"/>
                <w:szCs w:val="22"/>
              </w:rPr>
            </w:pPr>
            <w:r w:rsidRPr="00D21D8C">
              <w:rPr>
                <w:rFonts w:asciiTheme="majorBidi" w:hAnsiTheme="majorBidi" w:cstheme="majorBidi"/>
                <w:color w:val="000000"/>
                <w:sz w:val="22"/>
                <w:szCs w:val="22"/>
                <w:u w:color="FFFFFF"/>
              </w:rPr>
              <w:t>Vaak (</w:t>
            </w:r>
            <w:r w:rsidR="004018D5" w:rsidRPr="00D21D8C">
              <w:rPr>
                <w:rFonts w:asciiTheme="majorBidi" w:hAnsiTheme="majorBidi" w:cstheme="majorBidi"/>
                <w:color w:val="000000"/>
                <w:sz w:val="22"/>
                <w:szCs w:val="22"/>
                <w:u w:color="FFFFFF"/>
              </w:rPr>
              <w:t>6,4</w:t>
            </w:r>
            <w:r w:rsidRPr="00D21D8C">
              <w:rPr>
                <w:rFonts w:asciiTheme="majorBidi" w:hAnsiTheme="majorBidi" w:cstheme="majorBidi"/>
                <w:color w:val="000000"/>
                <w:sz w:val="22"/>
                <w:szCs w:val="22"/>
                <w:u w:color="FFFFFF"/>
              </w:rPr>
              <w:t>)</w:t>
            </w:r>
          </w:p>
        </w:tc>
        <w:tc>
          <w:tcPr>
            <w:tcW w:w="1423" w:type="dxa"/>
            <w:tcBorders>
              <w:top w:val="single" w:sz="4" w:space="0" w:color="000000"/>
              <w:left w:val="single" w:sz="4" w:space="0" w:color="000000"/>
              <w:bottom w:val="single" w:sz="4" w:space="0" w:color="000000"/>
              <w:right w:val="single" w:sz="4" w:space="0" w:color="000000"/>
            </w:tcBorders>
            <w:vAlign w:val="center"/>
          </w:tcPr>
          <w:p w14:paraId="626BB1CE" w14:textId="12FF8550" w:rsidR="00D172DA" w:rsidRPr="00D21D8C" w:rsidRDefault="004018D5" w:rsidP="00D172DA">
            <w:pPr>
              <w:pStyle w:val="Koptekst"/>
              <w:keepNext/>
              <w:tabs>
                <w:tab w:val="clear" w:pos="4153"/>
                <w:tab w:val="clear" w:pos="8306"/>
              </w:tabs>
              <w:jc w:val="center"/>
              <w:rPr>
                <w:rFonts w:asciiTheme="majorBidi" w:hAnsiTheme="majorBidi" w:cstheme="majorBidi"/>
                <w:sz w:val="22"/>
                <w:szCs w:val="22"/>
              </w:rPr>
            </w:pPr>
            <w:r w:rsidRPr="00D21D8C">
              <w:rPr>
                <w:rFonts w:asciiTheme="majorBidi" w:hAnsiTheme="majorBidi" w:cstheme="majorBidi"/>
                <w:color w:val="000000"/>
                <w:sz w:val="22"/>
                <w:szCs w:val="22"/>
                <w:u w:color="FFFFFF"/>
              </w:rPr>
              <w:t>3,9</w:t>
            </w:r>
          </w:p>
        </w:tc>
      </w:tr>
      <w:tr w:rsidR="00D172DA" w:rsidRPr="00D21D8C" w14:paraId="189A8A12" w14:textId="77777777" w:rsidTr="00DF69E6">
        <w:tc>
          <w:tcPr>
            <w:tcW w:w="2615" w:type="dxa"/>
            <w:tcBorders>
              <w:top w:val="single" w:sz="4" w:space="0" w:color="000000"/>
              <w:left w:val="single" w:sz="4" w:space="0" w:color="000000"/>
              <w:bottom w:val="single" w:sz="4" w:space="0" w:color="000000"/>
              <w:right w:val="single" w:sz="4" w:space="0" w:color="000000"/>
            </w:tcBorders>
          </w:tcPr>
          <w:p w14:paraId="5211874C" w14:textId="77777777" w:rsidR="00D172DA" w:rsidRPr="00D21D8C" w:rsidRDefault="00D172DA" w:rsidP="00D172DA">
            <w:pPr>
              <w:spacing w:line="240" w:lineRule="auto"/>
              <w:rPr>
                <w:rFonts w:asciiTheme="majorBidi" w:hAnsiTheme="majorBidi" w:cstheme="majorBidi"/>
                <w:szCs w:val="22"/>
              </w:rPr>
            </w:pPr>
            <w:r w:rsidRPr="00D21D8C">
              <w:rPr>
                <w:rFonts w:asciiTheme="majorBidi" w:hAnsiTheme="majorBidi" w:cstheme="majorBidi"/>
                <w:color w:val="000000"/>
                <w:szCs w:val="22"/>
                <w:u w:color="FFFFFF"/>
              </w:rPr>
              <w:t>Zenuwstelselaandoeningen</w:t>
            </w:r>
          </w:p>
        </w:tc>
        <w:tc>
          <w:tcPr>
            <w:tcW w:w="2110" w:type="dxa"/>
            <w:tcBorders>
              <w:top w:val="single" w:sz="4" w:space="0" w:color="000000"/>
              <w:left w:val="single" w:sz="4" w:space="0" w:color="000000"/>
              <w:bottom w:val="single" w:sz="4" w:space="0" w:color="000000"/>
              <w:right w:val="single" w:sz="4" w:space="0" w:color="000000"/>
            </w:tcBorders>
          </w:tcPr>
          <w:p w14:paraId="05805EB5" w14:textId="77777777" w:rsidR="00D172DA" w:rsidRPr="00D21D8C" w:rsidRDefault="00D172DA" w:rsidP="00D172DA">
            <w:pPr>
              <w:pStyle w:val="Koptekst"/>
              <w:tabs>
                <w:tab w:val="clear" w:pos="4153"/>
                <w:tab w:val="clear" w:pos="8306"/>
              </w:tabs>
              <w:rPr>
                <w:rFonts w:asciiTheme="majorBidi" w:hAnsiTheme="majorBidi" w:cstheme="majorBidi"/>
                <w:iCs/>
                <w:sz w:val="22"/>
                <w:szCs w:val="22"/>
              </w:rPr>
            </w:pPr>
            <w:r w:rsidRPr="00D21D8C">
              <w:rPr>
                <w:rFonts w:asciiTheme="majorBidi" w:hAnsiTheme="majorBidi" w:cstheme="majorBidi"/>
                <w:iCs/>
                <w:color w:val="000000"/>
                <w:sz w:val="22"/>
                <w:szCs w:val="22"/>
                <w:u w:color="FFFFFF"/>
              </w:rPr>
              <w:t>Hoofdpijn</w:t>
            </w:r>
          </w:p>
        </w:tc>
        <w:tc>
          <w:tcPr>
            <w:tcW w:w="2677" w:type="dxa"/>
            <w:tcBorders>
              <w:top w:val="single" w:sz="4" w:space="0" w:color="000000"/>
              <w:left w:val="single" w:sz="4" w:space="0" w:color="000000"/>
              <w:bottom w:val="single" w:sz="4" w:space="0" w:color="000000"/>
              <w:right w:val="single" w:sz="4" w:space="0" w:color="000000"/>
            </w:tcBorders>
            <w:vAlign w:val="center"/>
          </w:tcPr>
          <w:p w14:paraId="28BDEF0B" w14:textId="6BDB30D5" w:rsidR="00D172DA" w:rsidRPr="00D21D8C" w:rsidRDefault="004018D5" w:rsidP="00D172DA">
            <w:pPr>
              <w:pStyle w:val="Koptekst"/>
              <w:tabs>
                <w:tab w:val="clear" w:pos="4153"/>
                <w:tab w:val="clear" w:pos="8306"/>
              </w:tabs>
              <w:jc w:val="center"/>
              <w:rPr>
                <w:rFonts w:asciiTheme="majorBidi" w:hAnsiTheme="majorBidi" w:cstheme="majorBidi"/>
                <w:strike/>
                <w:sz w:val="22"/>
                <w:szCs w:val="22"/>
              </w:rPr>
            </w:pPr>
            <w:r w:rsidRPr="00D21D8C">
              <w:rPr>
                <w:rFonts w:asciiTheme="majorBidi" w:hAnsiTheme="majorBidi" w:cstheme="majorBidi"/>
                <w:color w:val="000000"/>
                <w:sz w:val="22"/>
                <w:szCs w:val="22"/>
                <w:u w:color="FFFFFF"/>
              </w:rPr>
              <w:t>Zeer v</w:t>
            </w:r>
            <w:r w:rsidR="00D172DA" w:rsidRPr="00D21D8C">
              <w:rPr>
                <w:rFonts w:asciiTheme="majorBidi" w:hAnsiTheme="majorBidi" w:cstheme="majorBidi"/>
                <w:color w:val="000000"/>
                <w:sz w:val="22"/>
                <w:szCs w:val="22"/>
                <w:u w:color="FFFFFF"/>
              </w:rPr>
              <w:t>aak (</w:t>
            </w:r>
            <w:r w:rsidRPr="00D21D8C">
              <w:rPr>
                <w:rFonts w:asciiTheme="majorBidi" w:hAnsiTheme="majorBidi" w:cstheme="majorBidi"/>
                <w:color w:val="000000"/>
                <w:sz w:val="22"/>
                <w:szCs w:val="22"/>
                <w:u w:color="FFFFFF"/>
              </w:rPr>
              <w:t>12</w:t>
            </w:r>
            <w:r w:rsidR="00BA0140" w:rsidRPr="00D21D8C">
              <w:rPr>
                <w:rFonts w:asciiTheme="majorBidi" w:hAnsiTheme="majorBidi" w:cstheme="majorBidi"/>
                <w:color w:val="000000"/>
                <w:sz w:val="22"/>
                <w:szCs w:val="22"/>
                <w:u w:color="FFFFFF"/>
              </w:rPr>
              <w:t>,6</w:t>
            </w:r>
            <w:r w:rsidR="00D172DA" w:rsidRPr="00D21D8C">
              <w:rPr>
                <w:rFonts w:asciiTheme="majorBidi" w:hAnsiTheme="majorBidi" w:cstheme="majorBidi"/>
                <w:color w:val="000000"/>
                <w:sz w:val="22"/>
                <w:szCs w:val="22"/>
                <w:u w:color="FFFFFF"/>
              </w:rPr>
              <w:t>)</w:t>
            </w:r>
          </w:p>
        </w:tc>
        <w:tc>
          <w:tcPr>
            <w:tcW w:w="1423" w:type="dxa"/>
            <w:tcBorders>
              <w:top w:val="single" w:sz="4" w:space="0" w:color="000000"/>
              <w:left w:val="single" w:sz="4" w:space="0" w:color="000000"/>
              <w:bottom w:val="single" w:sz="4" w:space="0" w:color="000000"/>
              <w:right w:val="single" w:sz="4" w:space="0" w:color="000000"/>
            </w:tcBorders>
            <w:vAlign w:val="center"/>
          </w:tcPr>
          <w:p w14:paraId="19882FB2" w14:textId="52ED4733" w:rsidR="00D172DA" w:rsidRPr="00D21D8C" w:rsidRDefault="00BA0140" w:rsidP="00D172DA">
            <w:pPr>
              <w:pStyle w:val="Koptekst"/>
              <w:tabs>
                <w:tab w:val="clear" w:pos="4153"/>
                <w:tab w:val="clear" w:pos="8306"/>
              </w:tabs>
              <w:jc w:val="center"/>
              <w:rPr>
                <w:rFonts w:asciiTheme="majorBidi" w:hAnsiTheme="majorBidi" w:cstheme="majorBidi"/>
                <w:sz w:val="22"/>
                <w:szCs w:val="22"/>
              </w:rPr>
            </w:pPr>
            <w:r w:rsidRPr="00D21D8C">
              <w:rPr>
                <w:rFonts w:asciiTheme="majorBidi" w:hAnsiTheme="majorBidi" w:cstheme="majorBidi"/>
                <w:color w:val="000000"/>
                <w:sz w:val="22"/>
                <w:szCs w:val="22"/>
                <w:u w:color="FFFFFF"/>
              </w:rPr>
              <w:t>0,7</w:t>
            </w:r>
          </w:p>
        </w:tc>
      </w:tr>
      <w:tr w:rsidR="00D172DA" w:rsidRPr="00D21D8C" w14:paraId="3CA35197" w14:textId="77777777" w:rsidTr="00DF69E6">
        <w:tc>
          <w:tcPr>
            <w:tcW w:w="2615" w:type="dxa"/>
            <w:tcBorders>
              <w:top w:val="single" w:sz="4" w:space="0" w:color="000000"/>
              <w:left w:val="single" w:sz="4" w:space="0" w:color="000000"/>
              <w:bottom w:val="single" w:sz="4" w:space="0" w:color="000000"/>
              <w:right w:val="single" w:sz="4" w:space="0" w:color="000000"/>
            </w:tcBorders>
          </w:tcPr>
          <w:p w14:paraId="4B908174" w14:textId="74339F3A" w:rsidR="00D172DA" w:rsidRPr="00D21D8C" w:rsidRDefault="00D172DA" w:rsidP="00D172DA">
            <w:pPr>
              <w:spacing w:line="240" w:lineRule="auto"/>
              <w:rPr>
                <w:rFonts w:asciiTheme="majorBidi" w:hAnsiTheme="majorBidi" w:cstheme="majorBidi"/>
                <w:color w:val="000000"/>
                <w:szCs w:val="22"/>
                <w:u w:color="FFFFFF"/>
              </w:rPr>
            </w:pPr>
            <w:r w:rsidRPr="00D21D8C">
              <w:rPr>
                <w:rFonts w:asciiTheme="majorBidi" w:hAnsiTheme="majorBidi" w:cstheme="majorBidi"/>
                <w:color w:val="000000"/>
                <w:szCs w:val="22"/>
                <w:u w:color="FFFFFF"/>
              </w:rPr>
              <w:t>Hartaandoeningen</w:t>
            </w:r>
          </w:p>
        </w:tc>
        <w:tc>
          <w:tcPr>
            <w:tcW w:w="2110" w:type="dxa"/>
            <w:tcBorders>
              <w:top w:val="single" w:sz="4" w:space="0" w:color="000000"/>
              <w:left w:val="single" w:sz="4" w:space="0" w:color="000000"/>
              <w:bottom w:val="single" w:sz="4" w:space="0" w:color="000000"/>
              <w:right w:val="single" w:sz="4" w:space="0" w:color="000000"/>
            </w:tcBorders>
            <w:vAlign w:val="center"/>
          </w:tcPr>
          <w:p w14:paraId="01C30AF9" w14:textId="7EF47006" w:rsidR="00D172DA" w:rsidRPr="00D21D8C" w:rsidRDefault="00D172DA" w:rsidP="00D172DA">
            <w:pPr>
              <w:pStyle w:val="Koptekst"/>
              <w:tabs>
                <w:tab w:val="clear" w:pos="4153"/>
                <w:tab w:val="clear" w:pos="8306"/>
              </w:tabs>
              <w:rPr>
                <w:rFonts w:asciiTheme="majorBidi" w:hAnsiTheme="majorBidi" w:cstheme="majorBidi"/>
                <w:color w:val="000000"/>
                <w:sz w:val="22"/>
                <w:szCs w:val="22"/>
                <w:u w:color="FFFFFF"/>
              </w:rPr>
            </w:pPr>
            <w:r w:rsidRPr="00D21D8C">
              <w:rPr>
                <w:rFonts w:asciiTheme="majorBidi" w:hAnsiTheme="majorBidi" w:cstheme="majorBidi"/>
                <w:color w:val="000000"/>
                <w:sz w:val="22"/>
                <w:szCs w:val="22"/>
                <w:u w:color="FFFFFF"/>
              </w:rPr>
              <w:t>Atriumfibrilleren / atriumflutter</w:t>
            </w:r>
          </w:p>
        </w:tc>
        <w:tc>
          <w:tcPr>
            <w:tcW w:w="2677" w:type="dxa"/>
            <w:tcBorders>
              <w:top w:val="single" w:sz="4" w:space="0" w:color="000000"/>
              <w:left w:val="single" w:sz="4" w:space="0" w:color="000000"/>
              <w:bottom w:val="single" w:sz="4" w:space="0" w:color="000000"/>
              <w:right w:val="single" w:sz="4" w:space="0" w:color="000000"/>
            </w:tcBorders>
            <w:vAlign w:val="center"/>
          </w:tcPr>
          <w:p w14:paraId="32889F0A" w14:textId="73D1580D" w:rsidR="00D172DA" w:rsidRPr="00D21D8C" w:rsidRDefault="00D172DA" w:rsidP="00D172DA">
            <w:pPr>
              <w:pStyle w:val="Koptekst"/>
              <w:tabs>
                <w:tab w:val="clear" w:pos="4153"/>
                <w:tab w:val="clear" w:pos="8306"/>
              </w:tabs>
              <w:jc w:val="center"/>
              <w:rPr>
                <w:rFonts w:asciiTheme="majorBidi" w:hAnsiTheme="majorBidi" w:cstheme="majorBidi"/>
                <w:color w:val="000000"/>
                <w:sz w:val="22"/>
                <w:szCs w:val="22"/>
                <w:u w:color="FFFFFF"/>
              </w:rPr>
            </w:pPr>
            <w:r w:rsidRPr="00D21D8C">
              <w:rPr>
                <w:rFonts w:asciiTheme="majorBidi" w:hAnsiTheme="majorBidi" w:cstheme="majorBidi"/>
                <w:color w:val="000000"/>
                <w:sz w:val="22"/>
                <w:szCs w:val="22"/>
                <w:u w:color="FFFFFF"/>
              </w:rPr>
              <w:t>Vaak (</w:t>
            </w:r>
            <w:r w:rsidR="00BA0140" w:rsidRPr="00D21D8C">
              <w:rPr>
                <w:rFonts w:asciiTheme="majorBidi" w:hAnsiTheme="majorBidi" w:cstheme="majorBidi"/>
                <w:color w:val="000000"/>
                <w:sz w:val="22"/>
                <w:szCs w:val="22"/>
                <w:u w:color="FFFFFF"/>
              </w:rPr>
              <w:t>3,8</w:t>
            </w:r>
            <w:r w:rsidRPr="00D21D8C">
              <w:rPr>
                <w:rFonts w:asciiTheme="majorBidi" w:hAnsiTheme="majorBidi" w:cstheme="majorBidi"/>
                <w:color w:val="000000"/>
                <w:sz w:val="22"/>
                <w:szCs w:val="22"/>
                <w:u w:color="FFFFFF"/>
              </w:rPr>
              <w:t>)</w:t>
            </w:r>
          </w:p>
        </w:tc>
        <w:tc>
          <w:tcPr>
            <w:tcW w:w="1423" w:type="dxa"/>
            <w:tcBorders>
              <w:top w:val="single" w:sz="4" w:space="0" w:color="000000"/>
              <w:left w:val="single" w:sz="4" w:space="0" w:color="000000"/>
              <w:bottom w:val="single" w:sz="4" w:space="0" w:color="000000"/>
              <w:right w:val="single" w:sz="4" w:space="0" w:color="000000"/>
            </w:tcBorders>
            <w:vAlign w:val="center"/>
          </w:tcPr>
          <w:p w14:paraId="3E4A1F66" w14:textId="412BD379" w:rsidR="00D172DA" w:rsidRPr="00D21D8C" w:rsidRDefault="00BA0140" w:rsidP="00D172DA">
            <w:pPr>
              <w:pStyle w:val="Koptekst"/>
              <w:tabs>
                <w:tab w:val="clear" w:pos="4153"/>
                <w:tab w:val="clear" w:pos="8306"/>
              </w:tabs>
              <w:jc w:val="center"/>
              <w:rPr>
                <w:rFonts w:asciiTheme="majorBidi" w:hAnsiTheme="majorBidi" w:cstheme="majorBidi"/>
                <w:color w:val="000000"/>
                <w:sz w:val="22"/>
                <w:szCs w:val="22"/>
                <w:u w:color="FFFFFF"/>
              </w:rPr>
            </w:pPr>
            <w:r w:rsidRPr="00D21D8C">
              <w:rPr>
                <w:rFonts w:asciiTheme="majorBidi" w:hAnsiTheme="majorBidi" w:cstheme="majorBidi"/>
                <w:color w:val="000000"/>
                <w:sz w:val="22"/>
                <w:szCs w:val="22"/>
                <w:u w:color="FFFFFF"/>
              </w:rPr>
              <w:t>1,7</w:t>
            </w:r>
          </w:p>
        </w:tc>
      </w:tr>
      <w:tr w:rsidR="00D172DA" w:rsidRPr="00D21D8C" w14:paraId="6FE16098" w14:textId="77777777" w:rsidTr="00DF69E6">
        <w:tc>
          <w:tcPr>
            <w:tcW w:w="2615" w:type="dxa"/>
            <w:vMerge w:val="restart"/>
            <w:tcBorders>
              <w:top w:val="single" w:sz="4" w:space="0" w:color="000000"/>
              <w:left w:val="single" w:sz="4" w:space="0" w:color="000000"/>
              <w:right w:val="single" w:sz="4" w:space="0" w:color="000000"/>
            </w:tcBorders>
          </w:tcPr>
          <w:p w14:paraId="7BAF962C" w14:textId="77777777" w:rsidR="00D172DA" w:rsidRPr="00D21D8C" w:rsidRDefault="00D172DA" w:rsidP="00D172DA">
            <w:pPr>
              <w:spacing w:line="240" w:lineRule="auto"/>
              <w:rPr>
                <w:rFonts w:asciiTheme="majorBidi" w:hAnsiTheme="majorBidi" w:cstheme="majorBidi"/>
                <w:szCs w:val="22"/>
              </w:rPr>
            </w:pPr>
            <w:r w:rsidRPr="00D21D8C">
              <w:rPr>
                <w:rFonts w:asciiTheme="majorBidi" w:hAnsiTheme="majorBidi" w:cstheme="majorBidi"/>
                <w:color w:val="000000"/>
                <w:szCs w:val="22"/>
                <w:u w:color="FFFFFF"/>
              </w:rPr>
              <w:t>Bloedvataandoeningen</w:t>
            </w:r>
          </w:p>
        </w:tc>
        <w:tc>
          <w:tcPr>
            <w:tcW w:w="2110" w:type="dxa"/>
            <w:tcBorders>
              <w:top w:val="single" w:sz="4" w:space="0" w:color="000000"/>
              <w:left w:val="single" w:sz="4" w:space="0" w:color="000000"/>
              <w:bottom w:val="single" w:sz="4" w:space="0" w:color="000000"/>
              <w:right w:val="single" w:sz="4" w:space="0" w:color="000000"/>
            </w:tcBorders>
            <w:vAlign w:val="center"/>
          </w:tcPr>
          <w:p w14:paraId="1A211AAF" w14:textId="59F51347" w:rsidR="00D172DA" w:rsidRPr="00D21D8C" w:rsidRDefault="00D172DA" w:rsidP="00D172DA">
            <w:pPr>
              <w:pStyle w:val="Koptekst"/>
              <w:tabs>
                <w:tab w:val="clear" w:pos="4153"/>
                <w:tab w:val="clear" w:pos="8306"/>
              </w:tabs>
              <w:rPr>
                <w:rFonts w:asciiTheme="majorBidi" w:hAnsiTheme="majorBidi" w:cstheme="majorBidi"/>
                <w:strike/>
                <w:sz w:val="22"/>
                <w:szCs w:val="22"/>
              </w:rPr>
            </w:pPr>
            <w:r w:rsidRPr="00D21D8C">
              <w:rPr>
                <w:rFonts w:asciiTheme="majorBidi" w:hAnsiTheme="majorBidi" w:cstheme="majorBidi"/>
                <w:color w:val="000000"/>
                <w:sz w:val="22"/>
                <w:szCs w:val="22"/>
                <w:u w:color="FFFFFF"/>
              </w:rPr>
              <w:t>Hemorragie</w:t>
            </w:r>
            <w:r w:rsidRPr="00D21D8C">
              <w:rPr>
                <w:rFonts w:asciiTheme="majorBidi" w:hAnsiTheme="majorBidi" w:cstheme="majorBidi"/>
                <w:color w:val="000000"/>
                <w:sz w:val="22"/>
                <w:szCs w:val="22"/>
                <w:u w:color="FFFFFF"/>
                <w:vertAlign w:val="superscript"/>
              </w:rPr>
              <w:t>b</w:t>
            </w:r>
          </w:p>
        </w:tc>
        <w:tc>
          <w:tcPr>
            <w:tcW w:w="2677" w:type="dxa"/>
            <w:tcBorders>
              <w:top w:val="single" w:sz="4" w:space="0" w:color="000000"/>
              <w:left w:val="single" w:sz="4" w:space="0" w:color="000000"/>
              <w:bottom w:val="single" w:sz="4" w:space="0" w:color="000000"/>
              <w:right w:val="single" w:sz="4" w:space="0" w:color="000000"/>
            </w:tcBorders>
            <w:vAlign w:val="center"/>
          </w:tcPr>
          <w:p w14:paraId="0309796E" w14:textId="495CA066" w:rsidR="00D172DA" w:rsidRPr="00D21D8C" w:rsidRDefault="00D172DA" w:rsidP="00D172DA">
            <w:pPr>
              <w:pStyle w:val="Koptekst"/>
              <w:tabs>
                <w:tab w:val="clear" w:pos="4153"/>
                <w:tab w:val="clear" w:pos="8306"/>
              </w:tabs>
              <w:jc w:val="center"/>
              <w:rPr>
                <w:rFonts w:asciiTheme="majorBidi" w:hAnsiTheme="majorBidi" w:cstheme="majorBidi"/>
                <w:sz w:val="22"/>
                <w:szCs w:val="22"/>
              </w:rPr>
            </w:pPr>
            <w:r w:rsidRPr="00D21D8C">
              <w:rPr>
                <w:rFonts w:asciiTheme="majorBidi" w:hAnsiTheme="majorBidi" w:cstheme="majorBidi"/>
                <w:color w:val="000000"/>
                <w:sz w:val="22"/>
                <w:szCs w:val="22"/>
                <w:u w:color="FFFFFF"/>
              </w:rPr>
              <w:t>Zeer vaak (</w:t>
            </w:r>
            <w:r w:rsidR="00BA0140" w:rsidRPr="00D21D8C">
              <w:rPr>
                <w:rFonts w:asciiTheme="majorBidi" w:hAnsiTheme="majorBidi" w:cstheme="majorBidi"/>
                <w:color w:val="000000"/>
                <w:sz w:val="22"/>
                <w:szCs w:val="22"/>
                <w:u w:color="FFFFFF"/>
              </w:rPr>
              <w:t>20,3</w:t>
            </w:r>
            <w:r w:rsidRPr="00D21D8C">
              <w:rPr>
                <w:rFonts w:asciiTheme="majorBidi" w:hAnsiTheme="majorBidi" w:cstheme="majorBidi"/>
                <w:color w:val="000000"/>
                <w:sz w:val="22"/>
                <w:szCs w:val="22"/>
                <w:u w:color="FFFFFF"/>
              </w:rPr>
              <w:t>)</w:t>
            </w:r>
          </w:p>
        </w:tc>
        <w:tc>
          <w:tcPr>
            <w:tcW w:w="1423" w:type="dxa"/>
            <w:tcBorders>
              <w:top w:val="single" w:sz="4" w:space="0" w:color="000000"/>
              <w:left w:val="single" w:sz="4" w:space="0" w:color="000000"/>
              <w:bottom w:val="single" w:sz="4" w:space="0" w:color="000000"/>
              <w:right w:val="single" w:sz="4" w:space="0" w:color="000000"/>
            </w:tcBorders>
            <w:vAlign w:val="center"/>
          </w:tcPr>
          <w:p w14:paraId="1D8419E0" w14:textId="018241EC" w:rsidR="00D172DA" w:rsidRPr="00D21D8C" w:rsidRDefault="00BA0140" w:rsidP="00D172DA">
            <w:pPr>
              <w:pStyle w:val="Koptekst"/>
              <w:tabs>
                <w:tab w:val="clear" w:pos="4153"/>
                <w:tab w:val="clear" w:pos="8306"/>
              </w:tabs>
              <w:jc w:val="center"/>
              <w:rPr>
                <w:rFonts w:asciiTheme="majorBidi" w:hAnsiTheme="majorBidi" w:cstheme="majorBidi"/>
                <w:sz w:val="22"/>
                <w:szCs w:val="22"/>
              </w:rPr>
            </w:pPr>
            <w:r w:rsidRPr="00D21D8C">
              <w:rPr>
                <w:rFonts w:asciiTheme="majorBidi" w:hAnsiTheme="majorBidi" w:cstheme="majorBidi"/>
                <w:color w:val="000000"/>
                <w:sz w:val="22"/>
                <w:szCs w:val="22"/>
                <w:u w:color="FFFFFF"/>
              </w:rPr>
              <w:t>2,8</w:t>
            </w:r>
          </w:p>
        </w:tc>
      </w:tr>
      <w:tr w:rsidR="00D172DA" w:rsidRPr="00D21D8C" w14:paraId="27CCAD79" w14:textId="77777777" w:rsidTr="00DF69E6">
        <w:tc>
          <w:tcPr>
            <w:tcW w:w="2615" w:type="dxa"/>
            <w:vMerge/>
            <w:tcBorders>
              <w:left w:val="single" w:sz="4" w:space="0" w:color="000000"/>
              <w:right w:val="single" w:sz="4" w:space="0" w:color="000000"/>
            </w:tcBorders>
          </w:tcPr>
          <w:p w14:paraId="314E851B" w14:textId="77777777" w:rsidR="00D172DA" w:rsidRPr="00D21D8C" w:rsidRDefault="00D172DA" w:rsidP="00D172DA">
            <w:pPr>
              <w:spacing w:line="240" w:lineRule="auto"/>
              <w:rPr>
                <w:rFonts w:asciiTheme="majorBidi" w:hAnsiTheme="majorBidi" w:cstheme="majorBidi"/>
                <w:szCs w:val="22"/>
              </w:rPr>
            </w:pPr>
          </w:p>
        </w:tc>
        <w:tc>
          <w:tcPr>
            <w:tcW w:w="2110" w:type="dxa"/>
            <w:tcBorders>
              <w:top w:val="single" w:sz="4" w:space="0" w:color="000000"/>
              <w:left w:val="single" w:sz="4" w:space="0" w:color="000000"/>
              <w:bottom w:val="single" w:sz="4" w:space="0" w:color="000000"/>
              <w:right w:val="single" w:sz="4" w:space="0" w:color="000000"/>
            </w:tcBorders>
          </w:tcPr>
          <w:p w14:paraId="2C553CCB" w14:textId="7D27BE8B" w:rsidR="00D172DA" w:rsidRPr="00D21D8C" w:rsidRDefault="00BA0140" w:rsidP="00D172DA">
            <w:pPr>
              <w:pStyle w:val="Koptekst"/>
              <w:tabs>
                <w:tab w:val="clear" w:pos="4153"/>
                <w:tab w:val="clear" w:pos="8306"/>
              </w:tabs>
              <w:ind w:left="144"/>
              <w:rPr>
                <w:rFonts w:asciiTheme="majorBidi" w:hAnsiTheme="majorBidi" w:cstheme="majorBidi"/>
                <w:color w:val="000000"/>
                <w:sz w:val="22"/>
                <w:szCs w:val="22"/>
                <w:u w:color="FFFFFF"/>
              </w:rPr>
            </w:pPr>
            <w:r w:rsidRPr="00D21D8C">
              <w:rPr>
                <w:rFonts w:asciiTheme="majorBidi" w:hAnsiTheme="majorBidi" w:cstheme="majorBidi"/>
                <w:color w:val="000000"/>
                <w:sz w:val="22"/>
                <w:szCs w:val="22"/>
                <w:u w:color="FFFFFF"/>
              </w:rPr>
              <w:t xml:space="preserve">Epistaxis </w:t>
            </w:r>
          </w:p>
        </w:tc>
        <w:tc>
          <w:tcPr>
            <w:tcW w:w="2677" w:type="dxa"/>
            <w:tcBorders>
              <w:top w:val="single" w:sz="4" w:space="0" w:color="000000"/>
              <w:left w:val="single" w:sz="4" w:space="0" w:color="000000"/>
              <w:bottom w:val="single" w:sz="4" w:space="0" w:color="000000"/>
              <w:right w:val="single" w:sz="4" w:space="0" w:color="000000"/>
            </w:tcBorders>
            <w:vAlign w:val="center"/>
          </w:tcPr>
          <w:p w14:paraId="5D0A055F" w14:textId="55DA6AFA" w:rsidR="00D172DA" w:rsidRPr="00D21D8C" w:rsidRDefault="00D172DA" w:rsidP="00D172DA">
            <w:pPr>
              <w:pStyle w:val="Koptekst"/>
              <w:tabs>
                <w:tab w:val="clear" w:pos="4153"/>
                <w:tab w:val="clear" w:pos="8306"/>
              </w:tabs>
              <w:jc w:val="center"/>
              <w:rPr>
                <w:rFonts w:asciiTheme="majorBidi" w:hAnsiTheme="majorBidi" w:cstheme="majorBidi"/>
                <w:color w:val="000000"/>
                <w:sz w:val="22"/>
                <w:szCs w:val="22"/>
                <w:u w:color="FFFFFF"/>
              </w:rPr>
            </w:pPr>
            <w:r w:rsidRPr="00D21D8C">
              <w:rPr>
                <w:rFonts w:asciiTheme="majorBidi" w:hAnsiTheme="majorBidi" w:cstheme="majorBidi"/>
                <w:color w:val="000000"/>
                <w:sz w:val="22"/>
                <w:szCs w:val="22"/>
                <w:u w:color="FFFFFF"/>
              </w:rPr>
              <w:t>Vaak (</w:t>
            </w:r>
            <w:r w:rsidR="00BA0140" w:rsidRPr="00D21D8C">
              <w:rPr>
                <w:rFonts w:asciiTheme="majorBidi" w:hAnsiTheme="majorBidi" w:cstheme="majorBidi"/>
                <w:color w:val="000000"/>
                <w:sz w:val="22"/>
                <w:szCs w:val="22"/>
                <w:u w:color="FFFFFF"/>
              </w:rPr>
              <w:t>5,2</w:t>
            </w:r>
            <w:r w:rsidRPr="00D21D8C">
              <w:rPr>
                <w:rFonts w:asciiTheme="majorBidi" w:hAnsiTheme="majorBidi" w:cstheme="majorBidi"/>
                <w:color w:val="000000"/>
                <w:sz w:val="22"/>
                <w:szCs w:val="22"/>
                <w:u w:color="FFFFFF"/>
              </w:rPr>
              <w:t>)</w:t>
            </w:r>
          </w:p>
        </w:tc>
        <w:tc>
          <w:tcPr>
            <w:tcW w:w="1423" w:type="dxa"/>
            <w:tcBorders>
              <w:top w:val="single" w:sz="4" w:space="0" w:color="000000"/>
              <w:left w:val="single" w:sz="4" w:space="0" w:color="000000"/>
              <w:bottom w:val="single" w:sz="4" w:space="0" w:color="000000"/>
              <w:right w:val="single" w:sz="4" w:space="0" w:color="000000"/>
            </w:tcBorders>
            <w:vAlign w:val="center"/>
          </w:tcPr>
          <w:p w14:paraId="647CEE3E" w14:textId="3746CB04" w:rsidR="00D172DA" w:rsidRPr="00D21D8C" w:rsidRDefault="001A0781" w:rsidP="00D172DA">
            <w:pPr>
              <w:pStyle w:val="Koptekst"/>
              <w:tabs>
                <w:tab w:val="clear" w:pos="4153"/>
                <w:tab w:val="clear" w:pos="8306"/>
              </w:tabs>
              <w:jc w:val="center"/>
              <w:rPr>
                <w:rFonts w:asciiTheme="majorBidi" w:hAnsiTheme="majorBidi" w:cstheme="majorBidi"/>
                <w:color w:val="000000"/>
                <w:sz w:val="22"/>
                <w:szCs w:val="22"/>
                <w:u w:color="FFFFFF"/>
              </w:rPr>
            </w:pPr>
            <w:r w:rsidRPr="00D21D8C">
              <w:rPr>
                <w:rFonts w:asciiTheme="majorBidi" w:hAnsiTheme="majorBidi" w:cstheme="majorBidi"/>
                <w:color w:val="000000"/>
                <w:sz w:val="22"/>
                <w:szCs w:val="22"/>
                <w:u w:color="FFFFFF"/>
              </w:rPr>
              <w:t>0</w:t>
            </w:r>
          </w:p>
        </w:tc>
      </w:tr>
      <w:tr w:rsidR="00D172DA" w:rsidRPr="00D21D8C" w14:paraId="03B7F4E1" w14:textId="77777777" w:rsidTr="00DF69E6">
        <w:tc>
          <w:tcPr>
            <w:tcW w:w="2615" w:type="dxa"/>
            <w:vMerge/>
            <w:tcBorders>
              <w:left w:val="single" w:sz="4" w:space="0" w:color="000000"/>
              <w:right w:val="single" w:sz="4" w:space="0" w:color="000000"/>
            </w:tcBorders>
          </w:tcPr>
          <w:p w14:paraId="01CC8DC3" w14:textId="77777777" w:rsidR="00D172DA" w:rsidRPr="00D21D8C" w:rsidRDefault="00D172DA" w:rsidP="00D172DA">
            <w:pPr>
              <w:spacing w:line="240" w:lineRule="auto"/>
              <w:rPr>
                <w:rFonts w:asciiTheme="majorBidi" w:hAnsiTheme="majorBidi" w:cstheme="majorBidi"/>
                <w:szCs w:val="22"/>
              </w:rPr>
            </w:pPr>
          </w:p>
        </w:tc>
        <w:tc>
          <w:tcPr>
            <w:tcW w:w="2110" w:type="dxa"/>
            <w:tcBorders>
              <w:top w:val="single" w:sz="4" w:space="0" w:color="000000"/>
              <w:left w:val="single" w:sz="4" w:space="0" w:color="000000"/>
              <w:bottom w:val="single" w:sz="4" w:space="0" w:color="000000"/>
              <w:right w:val="single" w:sz="4" w:space="0" w:color="000000"/>
            </w:tcBorders>
          </w:tcPr>
          <w:p w14:paraId="1F672AA3" w14:textId="31E73C42" w:rsidR="00D172DA" w:rsidRPr="00D21D8C" w:rsidRDefault="00BA0140" w:rsidP="00D172DA">
            <w:pPr>
              <w:pStyle w:val="Koptekst"/>
              <w:tabs>
                <w:tab w:val="clear" w:pos="4153"/>
                <w:tab w:val="clear" w:pos="8306"/>
              </w:tabs>
              <w:ind w:left="144"/>
              <w:rPr>
                <w:rFonts w:asciiTheme="majorBidi" w:hAnsiTheme="majorBidi" w:cstheme="majorBidi"/>
                <w:color w:val="000000"/>
                <w:sz w:val="22"/>
                <w:szCs w:val="22"/>
                <w:u w:color="FFFFFF"/>
              </w:rPr>
            </w:pPr>
            <w:r w:rsidRPr="00D21D8C">
              <w:rPr>
                <w:rFonts w:asciiTheme="majorBidi" w:hAnsiTheme="majorBidi" w:cstheme="majorBidi"/>
                <w:color w:val="000000"/>
                <w:sz w:val="22"/>
                <w:szCs w:val="22"/>
                <w:u w:color="FFFFFF"/>
              </w:rPr>
              <w:t>Hematurie</w:t>
            </w:r>
          </w:p>
        </w:tc>
        <w:tc>
          <w:tcPr>
            <w:tcW w:w="2677" w:type="dxa"/>
            <w:tcBorders>
              <w:top w:val="single" w:sz="4" w:space="0" w:color="000000"/>
              <w:left w:val="single" w:sz="4" w:space="0" w:color="000000"/>
              <w:bottom w:val="single" w:sz="4" w:space="0" w:color="000000"/>
              <w:right w:val="single" w:sz="4" w:space="0" w:color="000000"/>
            </w:tcBorders>
            <w:vAlign w:val="center"/>
          </w:tcPr>
          <w:p w14:paraId="53DB7CEB" w14:textId="0EFF87B9" w:rsidR="00D172DA" w:rsidRPr="00D21D8C" w:rsidRDefault="00D172DA" w:rsidP="00D172DA">
            <w:pPr>
              <w:pStyle w:val="Koptekst"/>
              <w:tabs>
                <w:tab w:val="clear" w:pos="4153"/>
                <w:tab w:val="clear" w:pos="8306"/>
              </w:tabs>
              <w:jc w:val="center"/>
              <w:rPr>
                <w:rFonts w:asciiTheme="majorBidi" w:hAnsiTheme="majorBidi" w:cstheme="majorBidi"/>
                <w:color w:val="000000"/>
                <w:sz w:val="22"/>
                <w:szCs w:val="22"/>
                <w:u w:color="FFFFFF"/>
              </w:rPr>
            </w:pPr>
            <w:r w:rsidRPr="00D21D8C">
              <w:rPr>
                <w:rFonts w:asciiTheme="majorBidi" w:hAnsiTheme="majorBidi" w:cstheme="majorBidi"/>
                <w:color w:val="000000"/>
                <w:sz w:val="22"/>
                <w:szCs w:val="22"/>
                <w:u w:color="FFFFFF"/>
              </w:rPr>
              <w:t>Vaak (</w:t>
            </w:r>
            <w:r w:rsidR="001A0781" w:rsidRPr="00D21D8C">
              <w:rPr>
                <w:rFonts w:asciiTheme="majorBidi" w:hAnsiTheme="majorBidi" w:cstheme="majorBidi"/>
                <w:color w:val="000000"/>
                <w:sz w:val="22"/>
                <w:szCs w:val="22"/>
                <w:u w:color="FFFFFF"/>
              </w:rPr>
              <w:t>4,5</w:t>
            </w:r>
            <w:r w:rsidRPr="00D21D8C">
              <w:rPr>
                <w:rFonts w:asciiTheme="majorBidi" w:hAnsiTheme="majorBidi" w:cstheme="majorBidi"/>
                <w:color w:val="000000"/>
                <w:sz w:val="22"/>
                <w:szCs w:val="22"/>
                <w:u w:color="FFFFFF"/>
              </w:rPr>
              <w:t>)</w:t>
            </w:r>
          </w:p>
        </w:tc>
        <w:tc>
          <w:tcPr>
            <w:tcW w:w="1423" w:type="dxa"/>
            <w:tcBorders>
              <w:top w:val="single" w:sz="4" w:space="0" w:color="000000"/>
              <w:left w:val="single" w:sz="4" w:space="0" w:color="000000"/>
              <w:bottom w:val="single" w:sz="4" w:space="0" w:color="000000"/>
              <w:right w:val="single" w:sz="4" w:space="0" w:color="000000"/>
            </w:tcBorders>
            <w:vAlign w:val="center"/>
          </w:tcPr>
          <w:p w14:paraId="26541BB7" w14:textId="7C066C37" w:rsidR="00D172DA" w:rsidRPr="00D21D8C" w:rsidRDefault="00D172DA" w:rsidP="00D172DA">
            <w:pPr>
              <w:pStyle w:val="Koptekst"/>
              <w:tabs>
                <w:tab w:val="clear" w:pos="4153"/>
                <w:tab w:val="clear" w:pos="8306"/>
              </w:tabs>
              <w:jc w:val="center"/>
              <w:rPr>
                <w:rFonts w:asciiTheme="majorBidi" w:hAnsiTheme="majorBidi" w:cstheme="majorBidi"/>
                <w:color w:val="000000"/>
                <w:sz w:val="22"/>
                <w:szCs w:val="22"/>
                <w:u w:color="FFFFFF"/>
              </w:rPr>
            </w:pPr>
            <w:r w:rsidRPr="00D21D8C">
              <w:rPr>
                <w:rFonts w:asciiTheme="majorBidi" w:hAnsiTheme="majorBidi" w:cstheme="majorBidi"/>
                <w:color w:val="000000"/>
                <w:sz w:val="22"/>
                <w:szCs w:val="22"/>
                <w:u w:color="FFFFFF"/>
              </w:rPr>
              <w:t>0,</w:t>
            </w:r>
            <w:r w:rsidR="001A0781" w:rsidRPr="00D21D8C">
              <w:rPr>
                <w:rFonts w:asciiTheme="majorBidi" w:hAnsiTheme="majorBidi" w:cstheme="majorBidi"/>
                <w:color w:val="000000"/>
                <w:sz w:val="22"/>
                <w:szCs w:val="22"/>
                <w:u w:color="FFFFFF"/>
              </w:rPr>
              <w:t>1</w:t>
            </w:r>
          </w:p>
        </w:tc>
      </w:tr>
      <w:tr w:rsidR="00DF69E6" w:rsidRPr="00D21D8C" w14:paraId="454657E4" w14:textId="77777777" w:rsidTr="00DF69E6">
        <w:tc>
          <w:tcPr>
            <w:tcW w:w="2615" w:type="dxa"/>
            <w:vMerge/>
            <w:tcBorders>
              <w:left w:val="single" w:sz="4" w:space="0" w:color="000000"/>
              <w:right w:val="single" w:sz="4" w:space="0" w:color="000000"/>
            </w:tcBorders>
          </w:tcPr>
          <w:p w14:paraId="34439D3B" w14:textId="77777777" w:rsidR="00DF69E6" w:rsidRPr="00D21D8C" w:rsidRDefault="00DF69E6" w:rsidP="00DF69E6">
            <w:pPr>
              <w:spacing w:line="240" w:lineRule="auto"/>
              <w:rPr>
                <w:rFonts w:asciiTheme="majorBidi" w:hAnsiTheme="majorBidi" w:cstheme="majorBidi"/>
                <w:szCs w:val="22"/>
              </w:rPr>
            </w:pPr>
          </w:p>
        </w:tc>
        <w:tc>
          <w:tcPr>
            <w:tcW w:w="2110" w:type="dxa"/>
            <w:tcBorders>
              <w:top w:val="single" w:sz="4" w:space="0" w:color="000000"/>
              <w:left w:val="single" w:sz="4" w:space="0" w:color="000000"/>
              <w:bottom w:val="single" w:sz="4" w:space="0" w:color="000000"/>
              <w:right w:val="single" w:sz="4" w:space="0" w:color="000000"/>
            </w:tcBorders>
          </w:tcPr>
          <w:p w14:paraId="20F3BD92" w14:textId="77777777" w:rsidR="00DF69E6" w:rsidRPr="00D21D8C" w:rsidRDefault="00DF69E6" w:rsidP="00DF69E6">
            <w:pPr>
              <w:pStyle w:val="Koptekst"/>
              <w:tabs>
                <w:tab w:val="clear" w:pos="4153"/>
                <w:tab w:val="clear" w:pos="8306"/>
              </w:tabs>
              <w:ind w:left="144"/>
              <w:rPr>
                <w:rFonts w:asciiTheme="majorBidi" w:hAnsiTheme="majorBidi" w:cstheme="majorBidi"/>
                <w:sz w:val="22"/>
                <w:szCs w:val="22"/>
              </w:rPr>
            </w:pPr>
            <w:r w:rsidRPr="00D21D8C">
              <w:rPr>
                <w:rFonts w:asciiTheme="majorBidi" w:hAnsiTheme="majorBidi" w:cstheme="majorBidi"/>
                <w:color w:val="000000"/>
                <w:sz w:val="22"/>
                <w:szCs w:val="22"/>
                <w:u w:color="FFFFFF"/>
              </w:rPr>
              <w:t>Hematoom</w:t>
            </w:r>
          </w:p>
        </w:tc>
        <w:tc>
          <w:tcPr>
            <w:tcW w:w="2677" w:type="dxa"/>
            <w:tcBorders>
              <w:top w:val="single" w:sz="4" w:space="0" w:color="000000"/>
              <w:left w:val="single" w:sz="4" w:space="0" w:color="000000"/>
              <w:bottom w:val="single" w:sz="4" w:space="0" w:color="000000"/>
              <w:right w:val="single" w:sz="4" w:space="0" w:color="000000"/>
            </w:tcBorders>
            <w:vAlign w:val="center"/>
          </w:tcPr>
          <w:p w14:paraId="41BC5B69" w14:textId="30723ADE" w:rsidR="00DF69E6" w:rsidRPr="00D21D8C" w:rsidRDefault="00DF69E6" w:rsidP="00DF69E6">
            <w:pPr>
              <w:pStyle w:val="Koptekst"/>
              <w:tabs>
                <w:tab w:val="clear" w:pos="4153"/>
                <w:tab w:val="clear" w:pos="8306"/>
              </w:tabs>
              <w:jc w:val="center"/>
              <w:rPr>
                <w:rFonts w:asciiTheme="majorBidi" w:hAnsiTheme="majorBidi" w:cstheme="majorBidi"/>
                <w:sz w:val="22"/>
                <w:szCs w:val="22"/>
              </w:rPr>
            </w:pPr>
            <w:r w:rsidRPr="00D21D8C">
              <w:rPr>
                <w:rFonts w:asciiTheme="majorBidi" w:hAnsiTheme="majorBidi" w:cstheme="majorBidi"/>
                <w:color w:val="000000"/>
                <w:sz w:val="22"/>
                <w:szCs w:val="22"/>
                <w:u w:color="FFFFFF"/>
              </w:rPr>
              <w:t>Vaak (1,7)</w:t>
            </w:r>
          </w:p>
        </w:tc>
        <w:tc>
          <w:tcPr>
            <w:tcW w:w="1423" w:type="dxa"/>
            <w:tcBorders>
              <w:top w:val="single" w:sz="4" w:space="0" w:color="000000"/>
              <w:left w:val="single" w:sz="4" w:space="0" w:color="000000"/>
              <w:bottom w:val="single" w:sz="4" w:space="0" w:color="000000"/>
              <w:right w:val="single" w:sz="4" w:space="0" w:color="000000"/>
            </w:tcBorders>
            <w:vAlign w:val="center"/>
          </w:tcPr>
          <w:p w14:paraId="720BAF05" w14:textId="29492001" w:rsidR="00DF69E6" w:rsidRPr="00D21D8C" w:rsidRDefault="00DF69E6" w:rsidP="00DF69E6">
            <w:pPr>
              <w:pStyle w:val="Koptekst"/>
              <w:tabs>
                <w:tab w:val="clear" w:pos="4153"/>
                <w:tab w:val="clear" w:pos="8306"/>
              </w:tabs>
              <w:jc w:val="center"/>
              <w:rPr>
                <w:rFonts w:asciiTheme="majorBidi" w:hAnsiTheme="majorBidi" w:cstheme="majorBidi"/>
                <w:sz w:val="22"/>
                <w:szCs w:val="22"/>
              </w:rPr>
            </w:pPr>
            <w:r w:rsidRPr="00D21D8C">
              <w:rPr>
                <w:rFonts w:asciiTheme="majorBidi" w:hAnsiTheme="majorBidi" w:cstheme="majorBidi"/>
                <w:color w:val="000000"/>
                <w:sz w:val="22"/>
                <w:szCs w:val="22"/>
                <w:u w:color="FFFFFF"/>
              </w:rPr>
              <w:t>0,1</w:t>
            </w:r>
          </w:p>
        </w:tc>
      </w:tr>
      <w:tr w:rsidR="00DF69E6" w:rsidRPr="00D21D8C" w14:paraId="63D69A3D" w14:textId="77777777" w:rsidTr="00DF69E6">
        <w:tc>
          <w:tcPr>
            <w:tcW w:w="2615" w:type="dxa"/>
            <w:vMerge/>
            <w:tcBorders>
              <w:left w:val="single" w:sz="4" w:space="0" w:color="000000"/>
              <w:right w:val="single" w:sz="4" w:space="0" w:color="000000"/>
            </w:tcBorders>
          </w:tcPr>
          <w:p w14:paraId="3E1A3C1C" w14:textId="77777777" w:rsidR="00DF69E6" w:rsidRPr="00D21D8C" w:rsidRDefault="00DF69E6" w:rsidP="00DF69E6">
            <w:pPr>
              <w:spacing w:line="240" w:lineRule="auto"/>
              <w:rPr>
                <w:rFonts w:asciiTheme="majorBidi" w:hAnsiTheme="majorBidi" w:cstheme="majorBidi"/>
                <w:szCs w:val="22"/>
              </w:rPr>
            </w:pPr>
          </w:p>
        </w:tc>
        <w:tc>
          <w:tcPr>
            <w:tcW w:w="2110" w:type="dxa"/>
            <w:tcBorders>
              <w:top w:val="single" w:sz="4" w:space="0" w:color="000000"/>
              <w:left w:val="single" w:sz="4" w:space="0" w:color="000000"/>
              <w:bottom w:val="single" w:sz="4" w:space="0" w:color="000000"/>
              <w:right w:val="single" w:sz="4" w:space="0" w:color="000000"/>
            </w:tcBorders>
          </w:tcPr>
          <w:p w14:paraId="0F80D77D" w14:textId="06469D5A" w:rsidR="00DF69E6" w:rsidRPr="00D21D8C" w:rsidRDefault="00DF69E6" w:rsidP="00DF69E6">
            <w:pPr>
              <w:pStyle w:val="Koptekst"/>
              <w:tabs>
                <w:tab w:val="clear" w:pos="4153"/>
                <w:tab w:val="clear" w:pos="8306"/>
              </w:tabs>
              <w:ind w:left="144"/>
              <w:rPr>
                <w:rFonts w:asciiTheme="majorBidi" w:hAnsiTheme="majorBidi" w:cstheme="majorBidi"/>
                <w:color w:val="000000"/>
                <w:sz w:val="22"/>
                <w:szCs w:val="22"/>
                <w:u w:color="FFFFFF"/>
              </w:rPr>
            </w:pPr>
            <w:r w:rsidRPr="00D21D8C">
              <w:rPr>
                <w:rFonts w:asciiTheme="majorBidi" w:hAnsiTheme="majorBidi" w:cstheme="majorBidi"/>
                <w:color w:val="000000"/>
                <w:sz w:val="22"/>
                <w:szCs w:val="22"/>
                <w:u w:color="FFFFFF"/>
              </w:rPr>
              <w:t>Conjunctivale bloeding</w:t>
            </w:r>
          </w:p>
        </w:tc>
        <w:tc>
          <w:tcPr>
            <w:tcW w:w="2677" w:type="dxa"/>
            <w:tcBorders>
              <w:top w:val="single" w:sz="4" w:space="0" w:color="000000"/>
              <w:left w:val="single" w:sz="4" w:space="0" w:color="000000"/>
              <w:bottom w:val="single" w:sz="4" w:space="0" w:color="000000"/>
              <w:right w:val="single" w:sz="4" w:space="0" w:color="000000"/>
            </w:tcBorders>
            <w:vAlign w:val="center"/>
          </w:tcPr>
          <w:p w14:paraId="5CD79DAA" w14:textId="2F742523" w:rsidR="00DF69E6" w:rsidRPr="00D21D8C" w:rsidRDefault="00DF69E6" w:rsidP="00DF69E6">
            <w:pPr>
              <w:pStyle w:val="Koptekst"/>
              <w:tabs>
                <w:tab w:val="clear" w:pos="4153"/>
                <w:tab w:val="clear" w:pos="8306"/>
              </w:tabs>
              <w:jc w:val="center"/>
              <w:rPr>
                <w:rFonts w:asciiTheme="majorBidi" w:hAnsiTheme="majorBidi" w:cstheme="majorBidi"/>
                <w:color w:val="000000"/>
                <w:sz w:val="22"/>
                <w:szCs w:val="22"/>
                <w:u w:color="FFFFFF"/>
              </w:rPr>
            </w:pPr>
            <w:r w:rsidRPr="00D21D8C">
              <w:rPr>
                <w:rFonts w:asciiTheme="majorBidi" w:hAnsiTheme="majorBidi" w:cstheme="majorBidi"/>
                <w:color w:val="000000"/>
                <w:sz w:val="22"/>
                <w:szCs w:val="22"/>
                <w:u w:color="FFFFFF"/>
              </w:rPr>
              <w:t>Vaak (1,7)</w:t>
            </w:r>
          </w:p>
        </w:tc>
        <w:tc>
          <w:tcPr>
            <w:tcW w:w="1423" w:type="dxa"/>
            <w:tcBorders>
              <w:top w:val="single" w:sz="4" w:space="0" w:color="000000"/>
              <w:left w:val="single" w:sz="4" w:space="0" w:color="000000"/>
              <w:bottom w:val="single" w:sz="4" w:space="0" w:color="000000"/>
              <w:right w:val="single" w:sz="4" w:space="0" w:color="000000"/>
            </w:tcBorders>
            <w:vAlign w:val="center"/>
          </w:tcPr>
          <w:p w14:paraId="56C878FE" w14:textId="15C183CA" w:rsidR="00DF69E6" w:rsidRPr="00D21D8C" w:rsidRDefault="00DF69E6" w:rsidP="00DF69E6">
            <w:pPr>
              <w:pStyle w:val="Koptekst"/>
              <w:tabs>
                <w:tab w:val="clear" w:pos="4153"/>
                <w:tab w:val="clear" w:pos="8306"/>
              </w:tabs>
              <w:jc w:val="center"/>
              <w:rPr>
                <w:rFonts w:asciiTheme="majorBidi" w:hAnsiTheme="majorBidi" w:cstheme="majorBidi"/>
                <w:color w:val="000000"/>
                <w:sz w:val="22"/>
                <w:szCs w:val="22"/>
                <w:u w:color="FFFFFF"/>
              </w:rPr>
            </w:pPr>
            <w:r w:rsidRPr="00D21D8C">
              <w:rPr>
                <w:rFonts w:asciiTheme="majorBidi" w:hAnsiTheme="majorBidi" w:cstheme="majorBidi"/>
                <w:color w:val="000000"/>
                <w:sz w:val="22"/>
                <w:szCs w:val="22"/>
                <w:u w:color="FFFFFF"/>
              </w:rPr>
              <w:t>0,1</w:t>
            </w:r>
          </w:p>
        </w:tc>
      </w:tr>
      <w:tr w:rsidR="00DF69E6" w:rsidRPr="00D21D8C" w14:paraId="47911A2D" w14:textId="77777777" w:rsidTr="00DF69E6">
        <w:tc>
          <w:tcPr>
            <w:tcW w:w="2615" w:type="dxa"/>
            <w:vMerge/>
            <w:tcBorders>
              <w:left w:val="single" w:sz="4" w:space="0" w:color="000000"/>
              <w:right w:val="single" w:sz="4" w:space="0" w:color="000000"/>
            </w:tcBorders>
          </w:tcPr>
          <w:p w14:paraId="7102FDC5" w14:textId="77777777" w:rsidR="00DF69E6" w:rsidRPr="00D21D8C" w:rsidRDefault="00DF69E6" w:rsidP="00DF69E6">
            <w:pPr>
              <w:spacing w:line="240" w:lineRule="auto"/>
              <w:rPr>
                <w:rFonts w:asciiTheme="majorBidi" w:hAnsiTheme="majorBidi" w:cstheme="majorBidi"/>
                <w:szCs w:val="22"/>
              </w:rPr>
            </w:pPr>
          </w:p>
        </w:tc>
        <w:tc>
          <w:tcPr>
            <w:tcW w:w="2110" w:type="dxa"/>
            <w:tcBorders>
              <w:top w:val="single" w:sz="4" w:space="0" w:color="000000"/>
              <w:left w:val="single" w:sz="4" w:space="0" w:color="000000"/>
              <w:bottom w:val="single" w:sz="4" w:space="0" w:color="000000"/>
              <w:right w:val="single" w:sz="4" w:space="0" w:color="000000"/>
            </w:tcBorders>
            <w:vAlign w:val="center"/>
          </w:tcPr>
          <w:p w14:paraId="1ACE6FD2" w14:textId="0BB09947" w:rsidR="00DF69E6" w:rsidRPr="00D21D8C" w:rsidRDefault="00DF69E6" w:rsidP="00DF69E6">
            <w:pPr>
              <w:pStyle w:val="Koptekst"/>
              <w:tabs>
                <w:tab w:val="clear" w:pos="4153"/>
                <w:tab w:val="clear" w:pos="8306"/>
              </w:tabs>
              <w:rPr>
                <w:rFonts w:asciiTheme="majorBidi" w:hAnsiTheme="majorBidi" w:cstheme="majorBidi"/>
                <w:sz w:val="22"/>
                <w:szCs w:val="22"/>
              </w:rPr>
            </w:pPr>
            <w:r w:rsidRPr="00D21D8C">
              <w:rPr>
                <w:rFonts w:asciiTheme="majorBidi" w:hAnsiTheme="majorBidi" w:cstheme="majorBidi"/>
                <w:color w:val="000000"/>
                <w:sz w:val="22"/>
                <w:szCs w:val="22"/>
                <w:u w:color="FFFFFF"/>
              </w:rPr>
              <w:t>Blauwe plekken</w:t>
            </w:r>
            <w:r w:rsidR="00A14A20" w:rsidRPr="00D21D8C">
              <w:rPr>
                <w:rFonts w:asciiTheme="majorBidi" w:hAnsiTheme="majorBidi" w:cstheme="majorBidi"/>
                <w:color w:val="000000"/>
                <w:sz w:val="22"/>
                <w:szCs w:val="22"/>
                <w:u w:color="FFFFFF"/>
                <w:vertAlign w:val="superscript"/>
              </w:rPr>
              <w:t>b</w:t>
            </w:r>
          </w:p>
        </w:tc>
        <w:tc>
          <w:tcPr>
            <w:tcW w:w="2677" w:type="dxa"/>
            <w:tcBorders>
              <w:top w:val="single" w:sz="4" w:space="0" w:color="000000"/>
              <w:left w:val="single" w:sz="4" w:space="0" w:color="000000"/>
              <w:bottom w:val="single" w:sz="4" w:space="0" w:color="000000"/>
              <w:right w:val="single" w:sz="4" w:space="0" w:color="000000"/>
            </w:tcBorders>
            <w:vAlign w:val="center"/>
          </w:tcPr>
          <w:p w14:paraId="7CA48B80" w14:textId="755D9988" w:rsidR="00DF69E6" w:rsidRPr="00D21D8C" w:rsidRDefault="00DF69E6" w:rsidP="00DF69E6">
            <w:pPr>
              <w:pStyle w:val="Koptekst"/>
              <w:tabs>
                <w:tab w:val="clear" w:pos="4153"/>
                <w:tab w:val="clear" w:pos="8306"/>
              </w:tabs>
              <w:jc w:val="center"/>
              <w:rPr>
                <w:rFonts w:asciiTheme="majorBidi" w:hAnsiTheme="majorBidi" w:cstheme="majorBidi"/>
                <w:sz w:val="22"/>
                <w:szCs w:val="22"/>
              </w:rPr>
            </w:pPr>
            <w:r w:rsidRPr="00D21D8C">
              <w:rPr>
                <w:rFonts w:asciiTheme="majorBidi" w:hAnsiTheme="majorBidi" w:cstheme="majorBidi"/>
                <w:color w:val="000000"/>
                <w:sz w:val="22"/>
                <w:szCs w:val="22"/>
                <w:u w:color="FFFFFF"/>
              </w:rPr>
              <w:t>Zeer vaak (</w:t>
            </w:r>
            <w:r w:rsidR="00A14A20" w:rsidRPr="00D21D8C">
              <w:rPr>
                <w:rFonts w:asciiTheme="majorBidi" w:hAnsiTheme="majorBidi" w:cstheme="majorBidi"/>
                <w:color w:val="000000"/>
                <w:sz w:val="22"/>
                <w:szCs w:val="22"/>
                <w:u w:color="FFFFFF"/>
              </w:rPr>
              <w:t>19,7</w:t>
            </w:r>
            <w:r w:rsidRPr="00D21D8C">
              <w:rPr>
                <w:rFonts w:asciiTheme="majorBidi" w:hAnsiTheme="majorBidi" w:cstheme="majorBidi"/>
                <w:color w:val="000000"/>
                <w:sz w:val="22"/>
                <w:szCs w:val="22"/>
                <w:u w:color="FFFFFF"/>
              </w:rPr>
              <w:t>)</w:t>
            </w:r>
          </w:p>
        </w:tc>
        <w:tc>
          <w:tcPr>
            <w:tcW w:w="1423" w:type="dxa"/>
            <w:tcBorders>
              <w:top w:val="single" w:sz="4" w:space="0" w:color="000000"/>
              <w:left w:val="single" w:sz="4" w:space="0" w:color="000000"/>
              <w:bottom w:val="single" w:sz="4" w:space="0" w:color="000000"/>
              <w:right w:val="single" w:sz="4" w:space="0" w:color="000000"/>
            </w:tcBorders>
            <w:vAlign w:val="center"/>
          </w:tcPr>
          <w:p w14:paraId="4F88A0E4" w14:textId="6AE297B8" w:rsidR="00DF69E6" w:rsidRPr="00D21D8C" w:rsidRDefault="00083713" w:rsidP="00DF69E6">
            <w:pPr>
              <w:pStyle w:val="Koptekst"/>
              <w:tabs>
                <w:tab w:val="clear" w:pos="4153"/>
                <w:tab w:val="clear" w:pos="8306"/>
              </w:tabs>
              <w:jc w:val="center"/>
              <w:rPr>
                <w:rFonts w:asciiTheme="majorBidi" w:hAnsiTheme="majorBidi" w:cstheme="majorBidi"/>
                <w:sz w:val="22"/>
                <w:szCs w:val="22"/>
              </w:rPr>
            </w:pPr>
            <w:r w:rsidRPr="00D21D8C">
              <w:rPr>
                <w:rFonts w:asciiTheme="majorBidi" w:hAnsiTheme="majorBidi" w:cstheme="majorBidi"/>
                <w:sz w:val="22"/>
                <w:szCs w:val="22"/>
              </w:rPr>
              <w:t>0,3</w:t>
            </w:r>
          </w:p>
        </w:tc>
      </w:tr>
      <w:tr w:rsidR="00DF69E6" w:rsidRPr="00D21D8C" w14:paraId="74F5E469" w14:textId="77777777" w:rsidTr="00DF69E6">
        <w:tc>
          <w:tcPr>
            <w:tcW w:w="2615" w:type="dxa"/>
            <w:vMerge/>
            <w:tcBorders>
              <w:left w:val="single" w:sz="4" w:space="0" w:color="000000"/>
              <w:right w:val="single" w:sz="4" w:space="0" w:color="000000"/>
            </w:tcBorders>
          </w:tcPr>
          <w:p w14:paraId="24A617E7" w14:textId="77777777" w:rsidR="00DF69E6" w:rsidRPr="00D21D8C" w:rsidRDefault="00DF69E6" w:rsidP="00DF69E6">
            <w:pPr>
              <w:spacing w:line="240" w:lineRule="auto"/>
              <w:rPr>
                <w:rFonts w:asciiTheme="majorBidi" w:hAnsiTheme="majorBidi" w:cstheme="majorBidi"/>
                <w:szCs w:val="22"/>
              </w:rPr>
            </w:pPr>
          </w:p>
        </w:tc>
        <w:tc>
          <w:tcPr>
            <w:tcW w:w="2110" w:type="dxa"/>
            <w:tcBorders>
              <w:top w:val="single" w:sz="4" w:space="0" w:color="000000"/>
              <w:left w:val="single" w:sz="4" w:space="0" w:color="000000"/>
              <w:bottom w:val="single" w:sz="4" w:space="0" w:color="000000"/>
              <w:right w:val="single" w:sz="4" w:space="0" w:color="000000"/>
            </w:tcBorders>
          </w:tcPr>
          <w:p w14:paraId="12EFAD72" w14:textId="60C3CD72" w:rsidR="00DF69E6" w:rsidRPr="00D21D8C" w:rsidRDefault="00DF69E6" w:rsidP="00DF69E6">
            <w:pPr>
              <w:pStyle w:val="Koptekst"/>
              <w:tabs>
                <w:tab w:val="clear" w:pos="4153"/>
                <w:tab w:val="clear" w:pos="8306"/>
              </w:tabs>
              <w:ind w:left="144"/>
              <w:rPr>
                <w:rFonts w:asciiTheme="majorBidi" w:hAnsiTheme="majorBidi" w:cstheme="majorBidi"/>
                <w:sz w:val="22"/>
                <w:szCs w:val="22"/>
              </w:rPr>
            </w:pPr>
            <w:r w:rsidRPr="00D21D8C">
              <w:rPr>
                <w:rFonts w:asciiTheme="majorBidi" w:hAnsiTheme="majorBidi" w:cstheme="majorBidi"/>
                <w:color w:val="000000"/>
                <w:sz w:val="22"/>
                <w:szCs w:val="22"/>
                <w:u w:color="FFFFFF"/>
              </w:rPr>
              <w:t>Kneuzing</w:t>
            </w:r>
          </w:p>
        </w:tc>
        <w:tc>
          <w:tcPr>
            <w:tcW w:w="2677" w:type="dxa"/>
            <w:tcBorders>
              <w:top w:val="single" w:sz="4" w:space="0" w:color="000000"/>
              <w:left w:val="single" w:sz="4" w:space="0" w:color="000000"/>
              <w:bottom w:val="single" w:sz="4" w:space="0" w:color="000000"/>
              <w:right w:val="single" w:sz="4" w:space="0" w:color="000000"/>
            </w:tcBorders>
            <w:vAlign w:val="center"/>
          </w:tcPr>
          <w:p w14:paraId="0FDDAE8E" w14:textId="22D7E813" w:rsidR="00DF69E6" w:rsidRPr="00D21D8C" w:rsidRDefault="00DF69E6" w:rsidP="00DF69E6">
            <w:pPr>
              <w:pStyle w:val="Koptekst"/>
              <w:tabs>
                <w:tab w:val="clear" w:pos="4153"/>
                <w:tab w:val="clear" w:pos="8306"/>
              </w:tabs>
              <w:jc w:val="center"/>
              <w:rPr>
                <w:rFonts w:asciiTheme="majorBidi" w:hAnsiTheme="majorBidi" w:cstheme="majorBidi"/>
                <w:sz w:val="22"/>
                <w:szCs w:val="22"/>
              </w:rPr>
            </w:pPr>
            <w:r w:rsidRPr="00D21D8C">
              <w:rPr>
                <w:rFonts w:asciiTheme="majorBidi" w:hAnsiTheme="majorBidi" w:cstheme="majorBidi"/>
                <w:color w:val="000000"/>
                <w:sz w:val="22"/>
                <w:szCs w:val="22"/>
                <w:u w:color="FFFFFF"/>
              </w:rPr>
              <w:t>Zeer vaak (</w:t>
            </w:r>
            <w:r w:rsidR="00083713" w:rsidRPr="00D21D8C">
              <w:rPr>
                <w:rFonts w:asciiTheme="majorBidi" w:hAnsiTheme="majorBidi" w:cstheme="majorBidi"/>
                <w:color w:val="000000"/>
                <w:sz w:val="22"/>
                <w:szCs w:val="22"/>
                <w:u w:color="FFFFFF"/>
              </w:rPr>
              <w:t>17,8</w:t>
            </w:r>
            <w:r w:rsidRPr="00D21D8C">
              <w:rPr>
                <w:rFonts w:asciiTheme="majorBidi" w:hAnsiTheme="majorBidi" w:cstheme="majorBidi"/>
                <w:color w:val="000000"/>
                <w:sz w:val="22"/>
                <w:szCs w:val="22"/>
                <w:u w:color="FFFFFF"/>
              </w:rPr>
              <w:t>)</w:t>
            </w:r>
          </w:p>
        </w:tc>
        <w:tc>
          <w:tcPr>
            <w:tcW w:w="1423" w:type="dxa"/>
            <w:tcBorders>
              <w:top w:val="single" w:sz="4" w:space="0" w:color="000000"/>
              <w:left w:val="single" w:sz="4" w:space="0" w:color="000000"/>
              <w:bottom w:val="single" w:sz="4" w:space="0" w:color="000000"/>
              <w:right w:val="single" w:sz="4" w:space="0" w:color="000000"/>
            </w:tcBorders>
            <w:vAlign w:val="center"/>
          </w:tcPr>
          <w:p w14:paraId="467E43A5" w14:textId="34A4B62E" w:rsidR="00DF69E6" w:rsidRPr="00D21D8C" w:rsidRDefault="00083713" w:rsidP="00DF69E6">
            <w:pPr>
              <w:pStyle w:val="Koptekst"/>
              <w:tabs>
                <w:tab w:val="clear" w:pos="4153"/>
                <w:tab w:val="clear" w:pos="8306"/>
              </w:tabs>
              <w:jc w:val="center"/>
              <w:rPr>
                <w:rFonts w:asciiTheme="majorBidi" w:hAnsiTheme="majorBidi" w:cstheme="majorBidi"/>
                <w:sz w:val="22"/>
                <w:szCs w:val="22"/>
              </w:rPr>
            </w:pPr>
            <w:r w:rsidRPr="00D21D8C">
              <w:rPr>
                <w:rFonts w:asciiTheme="majorBidi" w:hAnsiTheme="majorBidi" w:cstheme="majorBidi"/>
                <w:sz w:val="22"/>
                <w:szCs w:val="22"/>
              </w:rPr>
              <w:t>0,1</w:t>
            </w:r>
          </w:p>
        </w:tc>
      </w:tr>
      <w:tr w:rsidR="00DF69E6" w:rsidRPr="00D21D8C" w14:paraId="12B94952" w14:textId="77777777" w:rsidTr="00DF69E6">
        <w:tc>
          <w:tcPr>
            <w:tcW w:w="2615" w:type="dxa"/>
            <w:vMerge/>
            <w:tcBorders>
              <w:left w:val="single" w:sz="4" w:space="0" w:color="000000"/>
              <w:bottom w:val="single" w:sz="4" w:space="0" w:color="000000"/>
              <w:right w:val="single" w:sz="4" w:space="0" w:color="000000"/>
            </w:tcBorders>
          </w:tcPr>
          <w:p w14:paraId="18487753" w14:textId="77777777" w:rsidR="00DF69E6" w:rsidRPr="00D21D8C" w:rsidRDefault="00DF69E6" w:rsidP="00DF69E6">
            <w:pPr>
              <w:spacing w:line="240" w:lineRule="auto"/>
              <w:rPr>
                <w:rFonts w:asciiTheme="majorBidi" w:hAnsiTheme="majorBidi" w:cstheme="majorBidi"/>
                <w:szCs w:val="22"/>
              </w:rPr>
            </w:pPr>
          </w:p>
        </w:tc>
        <w:tc>
          <w:tcPr>
            <w:tcW w:w="2110" w:type="dxa"/>
            <w:tcBorders>
              <w:top w:val="single" w:sz="4" w:space="0" w:color="000000"/>
              <w:left w:val="single" w:sz="4" w:space="0" w:color="000000"/>
              <w:bottom w:val="single" w:sz="4" w:space="0" w:color="000000"/>
              <w:right w:val="single" w:sz="4" w:space="0" w:color="000000"/>
            </w:tcBorders>
          </w:tcPr>
          <w:p w14:paraId="2F166346" w14:textId="65C6C645" w:rsidR="00DF69E6" w:rsidRPr="00D21D8C" w:rsidRDefault="00DF69E6" w:rsidP="00DF69E6">
            <w:pPr>
              <w:pStyle w:val="Koptekst"/>
              <w:tabs>
                <w:tab w:val="clear" w:pos="4153"/>
                <w:tab w:val="clear" w:pos="8306"/>
              </w:tabs>
              <w:ind w:left="144"/>
              <w:rPr>
                <w:rFonts w:asciiTheme="majorBidi" w:hAnsiTheme="majorBidi" w:cstheme="majorBidi"/>
                <w:sz w:val="22"/>
                <w:szCs w:val="22"/>
              </w:rPr>
            </w:pPr>
            <w:r w:rsidRPr="00D21D8C">
              <w:rPr>
                <w:rFonts w:asciiTheme="majorBidi" w:hAnsiTheme="majorBidi" w:cstheme="majorBidi"/>
                <w:color w:val="000000"/>
                <w:sz w:val="22"/>
                <w:szCs w:val="22"/>
                <w:u w:color="FFFFFF"/>
              </w:rPr>
              <w:t>Petechiën</w:t>
            </w:r>
          </w:p>
        </w:tc>
        <w:tc>
          <w:tcPr>
            <w:tcW w:w="2677" w:type="dxa"/>
            <w:tcBorders>
              <w:top w:val="single" w:sz="4" w:space="0" w:color="000000"/>
              <w:left w:val="single" w:sz="4" w:space="0" w:color="000000"/>
              <w:bottom w:val="single" w:sz="4" w:space="0" w:color="000000"/>
              <w:right w:val="single" w:sz="4" w:space="0" w:color="000000"/>
            </w:tcBorders>
            <w:vAlign w:val="center"/>
          </w:tcPr>
          <w:p w14:paraId="08EB5025" w14:textId="4FEEE982" w:rsidR="00DF69E6" w:rsidRPr="00D21D8C" w:rsidRDefault="00DF69E6" w:rsidP="00DF69E6">
            <w:pPr>
              <w:pStyle w:val="Koptekst"/>
              <w:tabs>
                <w:tab w:val="clear" w:pos="4153"/>
                <w:tab w:val="clear" w:pos="8306"/>
              </w:tabs>
              <w:jc w:val="center"/>
              <w:rPr>
                <w:rFonts w:asciiTheme="majorBidi" w:hAnsiTheme="majorBidi" w:cstheme="majorBidi"/>
                <w:sz w:val="22"/>
                <w:szCs w:val="22"/>
              </w:rPr>
            </w:pPr>
            <w:r w:rsidRPr="00D21D8C">
              <w:rPr>
                <w:rFonts w:asciiTheme="majorBidi" w:hAnsiTheme="majorBidi" w:cstheme="majorBidi"/>
                <w:color w:val="000000"/>
                <w:sz w:val="22"/>
                <w:szCs w:val="22"/>
                <w:u w:color="FFFFFF"/>
              </w:rPr>
              <w:t>Vaak (</w:t>
            </w:r>
            <w:r w:rsidR="00E5028F" w:rsidRPr="00D21D8C">
              <w:rPr>
                <w:rFonts w:asciiTheme="majorBidi" w:hAnsiTheme="majorBidi" w:cstheme="majorBidi"/>
                <w:color w:val="000000"/>
                <w:sz w:val="22"/>
                <w:szCs w:val="22"/>
                <w:u w:color="FFFFFF"/>
              </w:rPr>
              <w:t>5,7</w:t>
            </w:r>
            <w:r w:rsidRPr="00D21D8C">
              <w:rPr>
                <w:rFonts w:asciiTheme="majorBidi" w:hAnsiTheme="majorBidi" w:cstheme="majorBidi"/>
                <w:color w:val="000000"/>
                <w:sz w:val="22"/>
                <w:szCs w:val="22"/>
                <w:u w:color="FFFFFF"/>
              </w:rPr>
              <w:t>)</w:t>
            </w:r>
          </w:p>
        </w:tc>
        <w:tc>
          <w:tcPr>
            <w:tcW w:w="1423" w:type="dxa"/>
            <w:tcBorders>
              <w:top w:val="single" w:sz="4" w:space="0" w:color="000000"/>
              <w:left w:val="single" w:sz="4" w:space="0" w:color="000000"/>
              <w:bottom w:val="single" w:sz="4" w:space="0" w:color="000000"/>
              <w:right w:val="single" w:sz="4" w:space="0" w:color="000000"/>
            </w:tcBorders>
            <w:vAlign w:val="center"/>
          </w:tcPr>
          <w:p w14:paraId="466E5B81" w14:textId="0594EE46" w:rsidR="00DF69E6" w:rsidRPr="00D21D8C" w:rsidRDefault="00E5028F" w:rsidP="00DF69E6">
            <w:pPr>
              <w:pStyle w:val="Koptekst"/>
              <w:tabs>
                <w:tab w:val="clear" w:pos="4153"/>
                <w:tab w:val="clear" w:pos="8306"/>
              </w:tabs>
              <w:jc w:val="center"/>
              <w:rPr>
                <w:rFonts w:asciiTheme="majorBidi" w:hAnsiTheme="majorBidi" w:cstheme="majorBidi"/>
                <w:sz w:val="22"/>
                <w:szCs w:val="22"/>
              </w:rPr>
            </w:pPr>
            <w:bookmarkStart w:id="4" w:name="_Hlk120786084"/>
            <w:bookmarkEnd w:id="4"/>
            <w:r w:rsidRPr="00D21D8C">
              <w:rPr>
                <w:rFonts w:asciiTheme="majorBidi" w:hAnsiTheme="majorBidi" w:cstheme="majorBidi"/>
                <w:sz w:val="22"/>
                <w:szCs w:val="22"/>
              </w:rPr>
              <w:t>0</w:t>
            </w:r>
          </w:p>
        </w:tc>
      </w:tr>
      <w:tr w:rsidR="00DF69E6" w:rsidRPr="00D21D8C" w14:paraId="366CC725" w14:textId="77777777" w:rsidTr="00DF69E6">
        <w:tc>
          <w:tcPr>
            <w:tcW w:w="2615" w:type="dxa"/>
            <w:vMerge w:val="restart"/>
            <w:tcBorders>
              <w:top w:val="single" w:sz="4" w:space="0" w:color="000000"/>
              <w:left w:val="single" w:sz="4" w:space="0" w:color="000000"/>
              <w:bottom w:val="single" w:sz="4" w:space="0" w:color="000000"/>
              <w:right w:val="single" w:sz="4" w:space="0" w:color="000000"/>
            </w:tcBorders>
          </w:tcPr>
          <w:p w14:paraId="693E8004" w14:textId="77777777" w:rsidR="00DF69E6" w:rsidRPr="00D21D8C" w:rsidRDefault="00DF69E6" w:rsidP="00DF69E6">
            <w:pPr>
              <w:spacing w:line="240" w:lineRule="auto"/>
              <w:rPr>
                <w:rFonts w:asciiTheme="majorBidi" w:hAnsiTheme="majorBidi" w:cstheme="majorBidi"/>
                <w:szCs w:val="22"/>
              </w:rPr>
            </w:pPr>
            <w:r w:rsidRPr="00D21D8C">
              <w:rPr>
                <w:rFonts w:asciiTheme="majorBidi" w:hAnsiTheme="majorBidi" w:cstheme="majorBidi"/>
                <w:color w:val="000000"/>
                <w:szCs w:val="22"/>
                <w:u w:color="FFFFFF"/>
              </w:rPr>
              <w:t>Maagdarmstelsel-aandoeningen</w:t>
            </w:r>
          </w:p>
        </w:tc>
        <w:tc>
          <w:tcPr>
            <w:tcW w:w="2110" w:type="dxa"/>
            <w:tcBorders>
              <w:top w:val="single" w:sz="4" w:space="0" w:color="000000"/>
              <w:left w:val="single" w:sz="4" w:space="0" w:color="000000"/>
              <w:bottom w:val="single" w:sz="4" w:space="0" w:color="000000"/>
              <w:right w:val="single" w:sz="4" w:space="0" w:color="000000"/>
            </w:tcBorders>
          </w:tcPr>
          <w:p w14:paraId="1DC20042" w14:textId="77777777" w:rsidR="00DF69E6" w:rsidRPr="00D21D8C" w:rsidRDefault="00DF69E6" w:rsidP="00DF69E6">
            <w:pPr>
              <w:rPr>
                <w:rFonts w:asciiTheme="majorBidi" w:hAnsiTheme="majorBidi" w:cstheme="majorBidi"/>
                <w:szCs w:val="22"/>
              </w:rPr>
            </w:pPr>
            <w:r w:rsidRPr="00D21D8C">
              <w:rPr>
                <w:rFonts w:asciiTheme="majorBidi" w:hAnsiTheme="majorBidi" w:cstheme="majorBidi"/>
                <w:color w:val="000000"/>
                <w:szCs w:val="22"/>
                <w:u w:color="FFFFFF"/>
              </w:rPr>
              <w:t>Diarree</w:t>
            </w:r>
          </w:p>
        </w:tc>
        <w:tc>
          <w:tcPr>
            <w:tcW w:w="2677" w:type="dxa"/>
            <w:tcBorders>
              <w:top w:val="single" w:sz="4" w:space="0" w:color="000000"/>
              <w:left w:val="single" w:sz="4" w:space="0" w:color="000000"/>
              <w:bottom w:val="single" w:sz="4" w:space="0" w:color="000000"/>
              <w:right w:val="single" w:sz="4" w:space="0" w:color="000000"/>
            </w:tcBorders>
            <w:vAlign w:val="center"/>
          </w:tcPr>
          <w:p w14:paraId="36909F8C" w14:textId="1B80FA71" w:rsidR="00DF69E6" w:rsidRPr="00D21D8C" w:rsidRDefault="00DF69E6" w:rsidP="00DF69E6">
            <w:pPr>
              <w:pStyle w:val="Koptekst"/>
              <w:tabs>
                <w:tab w:val="clear" w:pos="4153"/>
                <w:tab w:val="clear" w:pos="8306"/>
              </w:tabs>
              <w:jc w:val="center"/>
              <w:rPr>
                <w:rFonts w:asciiTheme="majorBidi" w:hAnsiTheme="majorBidi" w:cstheme="majorBidi"/>
                <w:strike/>
                <w:sz w:val="22"/>
                <w:szCs w:val="22"/>
              </w:rPr>
            </w:pPr>
            <w:r w:rsidRPr="00D21D8C">
              <w:rPr>
                <w:rFonts w:asciiTheme="majorBidi" w:hAnsiTheme="majorBidi" w:cstheme="majorBidi"/>
                <w:color w:val="000000"/>
                <w:sz w:val="22"/>
                <w:szCs w:val="22"/>
                <w:u w:color="FFFFFF"/>
              </w:rPr>
              <w:t>Zeer vaak (</w:t>
            </w:r>
            <w:r w:rsidR="00E5028F" w:rsidRPr="00D21D8C">
              <w:rPr>
                <w:rFonts w:asciiTheme="majorBidi" w:hAnsiTheme="majorBidi" w:cstheme="majorBidi"/>
                <w:color w:val="000000"/>
                <w:sz w:val="22"/>
                <w:szCs w:val="22"/>
                <w:u w:color="FFFFFF"/>
              </w:rPr>
              <w:t>23,8</w:t>
            </w:r>
            <w:r w:rsidRPr="00D21D8C">
              <w:rPr>
                <w:rFonts w:asciiTheme="majorBidi" w:hAnsiTheme="majorBidi" w:cstheme="majorBidi"/>
                <w:color w:val="000000"/>
                <w:sz w:val="22"/>
                <w:szCs w:val="22"/>
                <w:u w:color="FFFFFF"/>
              </w:rPr>
              <w:t>)</w:t>
            </w:r>
          </w:p>
        </w:tc>
        <w:tc>
          <w:tcPr>
            <w:tcW w:w="1423" w:type="dxa"/>
            <w:tcBorders>
              <w:top w:val="single" w:sz="4" w:space="0" w:color="000000"/>
              <w:left w:val="single" w:sz="4" w:space="0" w:color="000000"/>
              <w:bottom w:val="single" w:sz="4" w:space="0" w:color="000000"/>
              <w:right w:val="single" w:sz="4" w:space="0" w:color="000000"/>
            </w:tcBorders>
            <w:vAlign w:val="center"/>
          </w:tcPr>
          <w:p w14:paraId="654580D8" w14:textId="3E148F34" w:rsidR="00DF69E6" w:rsidRPr="00D21D8C" w:rsidRDefault="00E5028F" w:rsidP="00DF69E6">
            <w:pPr>
              <w:pStyle w:val="Koptekst"/>
              <w:tabs>
                <w:tab w:val="clear" w:pos="4153"/>
                <w:tab w:val="clear" w:pos="8306"/>
              </w:tabs>
              <w:jc w:val="center"/>
              <w:rPr>
                <w:rFonts w:asciiTheme="majorBidi" w:hAnsiTheme="majorBidi" w:cstheme="majorBidi"/>
                <w:sz w:val="22"/>
                <w:szCs w:val="22"/>
              </w:rPr>
            </w:pPr>
            <w:r w:rsidRPr="00D21D8C">
              <w:rPr>
                <w:rFonts w:asciiTheme="majorBidi" w:hAnsiTheme="majorBidi" w:cstheme="majorBidi"/>
                <w:color w:val="000000"/>
                <w:sz w:val="22"/>
                <w:szCs w:val="22"/>
                <w:u w:color="FFFFFF"/>
              </w:rPr>
              <w:t>1,0</w:t>
            </w:r>
          </w:p>
        </w:tc>
      </w:tr>
      <w:tr w:rsidR="00DF69E6" w:rsidRPr="00D21D8C" w14:paraId="6B26599E" w14:textId="77777777" w:rsidTr="00DF69E6">
        <w:tc>
          <w:tcPr>
            <w:tcW w:w="2615" w:type="dxa"/>
            <w:vMerge/>
            <w:tcBorders>
              <w:top w:val="single" w:sz="4" w:space="0" w:color="000000"/>
              <w:left w:val="single" w:sz="4" w:space="0" w:color="000000"/>
              <w:bottom w:val="single" w:sz="4" w:space="0" w:color="000000"/>
              <w:right w:val="single" w:sz="4" w:space="0" w:color="000000"/>
            </w:tcBorders>
          </w:tcPr>
          <w:p w14:paraId="0620A6C5" w14:textId="77777777" w:rsidR="00DF69E6" w:rsidRPr="00D21D8C" w:rsidRDefault="00DF69E6" w:rsidP="00DF69E6">
            <w:pPr>
              <w:spacing w:line="240" w:lineRule="auto"/>
              <w:rPr>
                <w:rFonts w:asciiTheme="majorBidi" w:hAnsiTheme="majorBidi" w:cstheme="majorBidi"/>
                <w:szCs w:val="22"/>
              </w:rPr>
            </w:pPr>
          </w:p>
        </w:tc>
        <w:tc>
          <w:tcPr>
            <w:tcW w:w="2110" w:type="dxa"/>
            <w:tcBorders>
              <w:top w:val="single" w:sz="4" w:space="0" w:color="000000"/>
              <w:left w:val="single" w:sz="4" w:space="0" w:color="000000"/>
              <w:bottom w:val="single" w:sz="4" w:space="0" w:color="000000"/>
              <w:right w:val="single" w:sz="4" w:space="0" w:color="000000"/>
            </w:tcBorders>
          </w:tcPr>
          <w:p w14:paraId="2DAA7C41" w14:textId="35C682AD" w:rsidR="00DF69E6" w:rsidRPr="00D21D8C" w:rsidRDefault="001D5732" w:rsidP="00DF69E6">
            <w:pPr>
              <w:rPr>
                <w:rFonts w:asciiTheme="majorBidi" w:hAnsiTheme="majorBidi" w:cstheme="majorBidi"/>
                <w:szCs w:val="22"/>
              </w:rPr>
            </w:pPr>
            <w:r w:rsidRPr="00D21D8C">
              <w:rPr>
                <w:rFonts w:asciiTheme="majorBidi" w:hAnsiTheme="majorBidi" w:cstheme="majorBidi"/>
                <w:color w:val="000000"/>
                <w:szCs w:val="22"/>
                <w:u w:color="FFFFFF"/>
              </w:rPr>
              <w:t>Nausea</w:t>
            </w:r>
          </w:p>
        </w:tc>
        <w:tc>
          <w:tcPr>
            <w:tcW w:w="2677" w:type="dxa"/>
            <w:tcBorders>
              <w:top w:val="single" w:sz="4" w:space="0" w:color="000000"/>
              <w:left w:val="single" w:sz="4" w:space="0" w:color="000000"/>
              <w:bottom w:val="single" w:sz="4" w:space="0" w:color="000000"/>
              <w:right w:val="single" w:sz="4" w:space="0" w:color="000000"/>
            </w:tcBorders>
            <w:vAlign w:val="center"/>
          </w:tcPr>
          <w:p w14:paraId="006D954C" w14:textId="1B8FF6F3" w:rsidR="00DF69E6" w:rsidRPr="00D21D8C" w:rsidRDefault="00DF69E6" w:rsidP="00DF69E6">
            <w:pPr>
              <w:pStyle w:val="Koptekst"/>
              <w:tabs>
                <w:tab w:val="clear" w:pos="4153"/>
                <w:tab w:val="clear" w:pos="8306"/>
              </w:tabs>
              <w:jc w:val="center"/>
              <w:rPr>
                <w:rFonts w:asciiTheme="majorBidi" w:hAnsiTheme="majorBidi" w:cstheme="majorBidi"/>
                <w:strike/>
                <w:sz w:val="22"/>
                <w:szCs w:val="22"/>
              </w:rPr>
            </w:pPr>
            <w:r w:rsidRPr="00D21D8C">
              <w:rPr>
                <w:rFonts w:asciiTheme="majorBidi" w:hAnsiTheme="majorBidi" w:cstheme="majorBidi"/>
                <w:color w:val="000000"/>
                <w:sz w:val="22"/>
                <w:szCs w:val="22"/>
                <w:u w:color="FFFFFF"/>
              </w:rPr>
              <w:t>Zeer vaak (1</w:t>
            </w:r>
            <w:r w:rsidR="001D5732" w:rsidRPr="00D21D8C">
              <w:rPr>
                <w:rFonts w:asciiTheme="majorBidi" w:hAnsiTheme="majorBidi" w:cstheme="majorBidi"/>
                <w:color w:val="000000"/>
                <w:sz w:val="22"/>
                <w:szCs w:val="22"/>
                <w:u w:color="FFFFFF"/>
              </w:rPr>
              <w:t>6,7</w:t>
            </w:r>
            <w:r w:rsidRPr="00D21D8C">
              <w:rPr>
                <w:rFonts w:asciiTheme="majorBidi" w:hAnsiTheme="majorBidi" w:cstheme="majorBidi"/>
                <w:color w:val="000000"/>
                <w:sz w:val="22"/>
                <w:szCs w:val="22"/>
                <w:u w:color="FFFFFF"/>
              </w:rPr>
              <w:t>)</w:t>
            </w:r>
          </w:p>
        </w:tc>
        <w:tc>
          <w:tcPr>
            <w:tcW w:w="1423" w:type="dxa"/>
            <w:tcBorders>
              <w:top w:val="single" w:sz="4" w:space="0" w:color="000000"/>
              <w:left w:val="single" w:sz="4" w:space="0" w:color="000000"/>
              <w:bottom w:val="single" w:sz="4" w:space="0" w:color="000000"/>
              <w:right w:val="single" w:sz="4" w:space="0" w:color="000000"/>
            </w:tcBorders>
            <w:vAlign w:val="center"/>
          </w:tcPr>
          <w:p w14:paraId="07052342" w14:textId="7D01826B" w:rsidR="00DF69E6" w:rsidRPr="00D21D8C" w:rsidRDefault="001D5732" w:rsidP="00DF69E6">
            <w:pPr>
              <w:pStyle w:val="Koptekst"/>
              <w:tabs>
                <w:tab w:val="clear" w:pos="4153"/>
                <w:tab w:val="clear" w:pos="8306"/>
              </w:tabs>
              <w:jc w:val="center"/>
              <w:rPr>
                <w:rFonts w:asciiTheme="majorBidi" w:hAnsiTheme="majorBidi" w:cstheme="majorBidi"/>
                <w:sz w:val="22"/>
                <w:szCs w:val="22"/>
              </w:rPr>
            </w:pPr>
            <w:r w:rsidRPr="00D21D8C">
              <w:rPr>
                <w:rFonts w:asciiTheme="majorBidi" w:hAnsiTheme="majorBidi" w:cstheme="majorBidi"/>
                <w:color w:val="000000"/>
                <w:sz w:val="22"/>
                <w:szCs w:val="22"/>
                <w:u w:color="FFFFFF"/>
              </w:rPr>
              <w:t>0,4</w:t>
            </w:r>
          </w:p>
        </w:tc>
      </w:tr>
      <w:tr w:rsidR="00DF69E6" w:rsidRPr="00D21D8C" w14:paraId="5A3052F9" w14:textId="77777777" w:rsidTr="00DF69E6">
        <w:tc>
          <w:tcPr>
            <w:tcW w:w="2615" w:type="dxa"/>
            <w:vMerge/>
            <w:tcBorders>
              <w:top w:val="single" w:sz="4" w:space="0" w:color="000000"/>
              <w:left w:val="single" w:sz="4" w:space="0" w:color="000000"/>
              <w:bottom w:val="single" w:sz="4" w:space="0" w:color="000000"/>
              <w:right w:val="single" w:sz="4" w:space="0" w:color="000000"/>
            </w:tcBorders>
          </w:tcPr>
          <w:p w14:paraId="3948E20C" w14:textId="77777777" w:rsidR="00DF69E6" w:rsidRPr="00D21D8C" w:rsidRDefault="00DF69E6" w:rsidP="00DF69E6">
            <w:pPr>
              <w:spacing w:line="240" w:lineRule="auto"/>
              <w:rPr>
                <w:rFonts w:asciiTheme="majorBidi" w:hAnsiTheme="majorBidi" w:cstheme="majorBidi"/>
                <w:szCs w:val="22"/>
              </w:rPr>
            </w:pPr>
          </w:p>
        </w:tc>
        <w:tc>
          <w:tcPr>
            <w:tcW w:w="2110" w:type="dxa"/>
            <w:tcBorders>
              <w:top w:val="single" w:sz="4" w:space="0" w:color="000000"/>
              <w:left w:val="single" w:sz="4" w:space="0" w:color="000000"/>
              <w:bottom w:val="single" w:sz="4" w:space="0" w:color="000000"/>
              <w:right w:val="single" w:sz="4" w:space="0" w:color="000000"/>
            </w:tcBorders>
          </w:tcPr>
          <w:p w14:paraId="3C14A7EC" w14:textId="3DF54147" w:rsidR="00DF69E6" w:rsidRPr="00D21D8C" w:rsidRDefault="001D5732" w:rsidP="00DF69E6">
            <w:pPr>
              <w:rPr>
                <w:rFonts w:asciiTheme="majorBidi" w:hAnsiTheme="majorBidi" w:cstheme="majorBidi"/>
                <w:szCs w:val="22"/>
              </w:rPr>
            </w:pPr>
            <w:r w:rsidRPr="00D21D8C">
              <w:rPr>
                <w:rFonts w:asciiTheme="majorBidi" w:hAnsiTheme="majorBidi" w:cstheme="majorBidi"/>
                <w:color w:val="000000"/>
                <w:szCs w:val="22"/>
                <w:u w:color="FFFFFF"/>
              </w:rPr>
              <w:t xml:space="preserve">Buikpijn </w:t>
            </w:r>
          </w:p>
        </w:tc>
        <w:tc>
          <w:tcPr>
            <w:tcW w:w="2677" w:type="dxa"/>
            <w:tcBorders>
              <w:top w:val="single" w:sz="4" w:space="0" w:color="000000"/>
              <w:left w:val="single" w:sz="4" w:space="0" w:color="000000"/>
              <w:bottom w:val="single" w:sz="4" w:space="0" w:color="000000"/>
              <w:right w:val="single" w:sz="4" w:space="0" w:color="000000"/>
            </w:tcBorders>
            <w:vAlign w:val="center"/>
          </w:tcPr>
          <w:p w14:paraId="7F7AE019" w14:textId="04D604C2" w:rsidR="00DF69E6" w:rsidRPr="00D21D8C" w:rsidRDefault="00DF69E6" w:rsidP="00DF69E6">
            <w:pPr>
              <w:pStyle w:val="Koptekst"/>
              <w:tabs>
                <w:tab w:val="clear" w:pos="4153"/>
                <w:tab w:val="clear" w:pos="8306"/>
              </w:tabs>
              <w:jc w:val="center"/>
              <w:rPr>
                <w:rFonts w:asciiTheme="majorBidi" w:hAnsiTheme="majorBidi" w:cstheme="majorBidi"/>
                <w:strike/>
                <w:sz w:val="22"/>
                <w:szCs w:val="22"/>
              </w:rPr>
            </w:pPr>
            <w:r w:rsidRPr="00D21D8C">
              <w:rPr>
                <w:rFonts w:asciiTheme="majorBidi" w:hAnsiTheme="majorBidi" w:cstheme="majorBidi"/>
                <w:color w:val="000000"/>
                <w:sz w:val="22"/>
                <w:szCs w:val="22"/>
                <w:u w:color="FFFFFF"/>
              </w:rPr>
              <w:t>Zeer vaak (1</w:t>
            </w:r>
            <w:r w:rsidR="001D5732" w:rsidRPr="00D21D8C">
              <w:rPr>
                <w:rFonts w:asciiTheme="majorBidi" w:hAnsiTheme="majorBidi" w:cstheme="majorBidi"/>
                <w:color w:val="000000"/>
                <w:sz w:val="22"/>
                <w:szCs w:val="22"/>
                <w:u w:color="FFFFFF"/>
              </w:rPr>
              <w:t>0,4</w:t>
            </w:r>
            <w:r w:rsidRPr="00D21D8C">
              <w:rPr>
                <w:rFonts w:asciiTheme="majorBidi" w:hAnsiTheme="majorBidi" w:cstheme="majorBidi"/>
                <w:color w:val="000000"/>
                <w:sz w:val="22"/>
                <w:szCs w:val="22"/>
                <w:u w:color="FFFFFF"/>
              </w:rPr>
              <w:t>)</w:t>
            </w:r>
          </w:p>
        </w:tc>
        <w:tc>
          <w:tcPr>
            <w:tcW w:w="1423" w:type="dxa"/>
            <w:tcBorders>
              <w:top w:val="single" w:sz="4" w:space="0" w:color="000000"/>
              <w:left w:val="single" w:sz="4" w:space="0" w:color="000000"/>
              <w:bottom w:val="single" w:sz="4" w:space="0" w:color="000000"/>
              <w:right w:val="single" w:sz="4" w:space="0" w:color="000000"/>
            </w:tcBorders>
            <w:vAlign w:val="center"/>
          </w:tcPr>
          <w:p w14:paraId="27F41758" w14:textId="0C6C3D88" w:rsidR="00DF69E6" w:rsidRPr="00D21D8C" w:rsidRDefault="001D5732" w:rsidP="00DF69E6">
            <w:pPr>
              <w:pStyle w:val="Koptekst"/>
              <w:tabs>
                <w:tab w:val="clear" w:pos="4153"/>
                <w:tab w:val="clear" w:pos="8306"/>
              </w:tabs>
              <w:jc w:val="center"/>
              <w:rPr>
                <w:rFonts w:asciiTheme="majorBidi" w:hAnsiTheme="majorBidi" w:cstheme="majorBidi"/>
                <w:sz w:val="22"/>
                <w:szCs w:val="22"/>
              </w:rPr>
            </w:pPr>
            <w:r w:rsidRPr="00D21D8C">
              <w:rPr>
                <w:rFonts w:asciiTheme="majorBidi" w:hAnsiTheme="majorBidi" w:cstheme="majorBidi"/>
                <w:sz w:val="22"/>
                <w:szCs w:val="22"/>
              </w:rPr>
              <w:t>1,0</w:t>
            </w:r>
          </w:p>
        </w:tc>
      </w:tr>
      <w:tr w:rsidR="00DF69E6" w:rsidRPr="00D21D8C" w14:paraId="2AD118E9" w14:textId="77777777" w:rsidTr="00DF69E6">
        <w:tc>
          <w:tcPr>
            <w:tcW w:w="2615" w:type="dxa"/>
            <w:tcBorders>
              <w:top w:val="single" w:sz="4" w:space="0" w:color="000000"/>
              <w:left w:val="single" w:sz="4" w:space="0" w:color="000000"/>
              <w:bottom w:val="single" w:sz="4" w:space="0" w:color="000000"/>
              <w:right w:val="single" w:sz="4" w:space="0" w:color="000000"/>
            </w:tcBorders>
          </w:tcPr>
          <w:p w14:paraId="0AEC09A7" w14:textId="77777777" w:rsidR="00DF69E6" w:rsidRPr="00D21D8C" w:rsidRDefault="00DF69E6" w:rsidP="00DF69E6">
            <w:pPr>
              <w:spacing w:line="240" w:lineRule="auto"/>
              <w:rPr>
                <w:rFonts w:asciiTheme="majorBidi" w:hAnsiTheme="majorBidi" w:cstheme="majorBidi"/>
                <w:szCs w:val="22"/>
              </w:rPr>
            </w:pPr>
            <w:r w:rsidRPr="00D21D8C">
              <w:rPr>
                <w:rFonts w:asciiTheme="majorBidi" w:hAnsiTheme="majorBidi" w:cstheme="majorBidi"/>
                <w:color w:val="000000"/>
                <w:szCs w:val="22"/>
                <w:u w:color="FFFFFF"/>
              </w:rPr>
              <w:t>Huid- en onderhuidaandoeningen</w:t>
            </w:r>
          </w:p>
        </w:tc>
        <w:tc>
          <w:tcPr>
            <w:tcW w:w="2110" w:type="dxa"/>
            <w:tcBorders>
              <w:top w:val="single" w:sz="4" w:space="0" w:color="000000"/>
              <w:left w:val="single" w:sz="4" w:space="0" w:color="000000"/>
              <w:bottom w:val="single" w:sz="4" w:space="0" w:color="000000"/>
              <w:right w:val="single" w:sz="4" w:space="0" w:color="000000"/>
            </w:tcBorders>
          </w:tcPr>
          <w:p w14:paraId="1C3B146D" w14:textId="39D2E16A" w:rsidR="00DF69E6" w:rsidRPr="00D21D8C" w:rsidRDefault="00DF69E6" w:rsidP="00DF69E6">
            <w:pPr>
              <w:pStyle w:val="Koptekst"/>
              <w:tabs>
                <w:tab w:val="clear" w:pos="4153"/>
                <w:tab w:val="clear" w:pos="8306"/>
              </w:tabs>
              <w:rPr>
                <w:rFonts w:asciiTheme="majorBidi" w:hAnsiTheme="majorBidi" w:cstheme="majorBidi"/>
                <w:iCs/>
                <w:sz w:val="22"/>
                <w:szCs w:val="22"/>
                <w:vertAlign w:val="superscript"/>
              </w:rPr>
            </w:pPr>
            <w:r w:rsidRPr="00D21D8C">
              <w:rPr>
                <w:rFonts w:asciiTheme="majorBidi" w:hAnsiTheme="majorBidi" w:cstheme="majorBidi"/>
                <w:iCs/>
                <w:color w:val="000000"/>
                <w:sz w:val="22"/>
                <w:szCs w:val="22"/>
                <w:u w:color="FFFFFF"/>
              </w:rPr>
              <w:t>Rash</w:t>
            </w:r>
            <w:r w:rsidRPr="00D21D8C">
              <w:rPr>
                <w:rFonts w:asciiTheme="majorBidi" w:hAnsiTheme="majorBidi" w:cstheme="majorBidi"/>
                <w:iCs/>
                <w:color w:val="000000"/>
                <w:sz w:val="22"/>
                <w:szCs w:val="22"/>
                <w:u w:color="FFFFFF"/>
                <w:vertAlign w:val="superscript"/>
              </w:rPr>
              <w:t>b</w:t>
            </w:r>
          </w:p>
        </w:tc>
        <w:tc>
          <w:tcPr>
            <w:tcW w:w="2677" w:type="dxa"/>
            <w:tcBorders>
              <w:top w:val="single" w:sz="4" w:space="0" w:color="000000"/>
              <w:left w:val="single" w:sz="4" w:space="0" w:color="000000"/>
              <w:bottom w:val="single" w:sz="4" w:space="0" w:color="000000"/>
              <w:right w:val="single" w:sz="4" w:space="0" w:color="000000"/>
            </w:tcBorders>
            <w:vAlign w:val="center"/>
          </w:tcPr>
          <w:p w14:paraId="218B5B63" w14:textId="2181304A" w:rsidR="00DF69E6" w:rsidRPr="00D21D8C" w:rsidRDefault="00DF69E6" w:rsidP="00DF69E6">
            <w:pPr>
              <w:pStyle w:val="Koptekst"/>
              <w:tabs>
                <w:tab w:val="clear" w:pos="4153"/>
                <w:tab w:val="clear" w:pos="8306"/>
              </w:tabs>
              <w:jc w:val="center"/>
              <w:rPr>
                <w:rFonts w:asciiTheme="majorBidi" w:hAnsiTheme="majorBidi" w:cstheme="majorBidi"/>
                <w:strike/>
                <w:sz w:val="22"/>
                <w:szCs w:val="22"/>
              </w:rPr>
            </w:pPr>
            <w:r w:rsidRPr="00D21D8C">
              <w:rPr>
                <w:rFonts w:asciiTheme="majorBidi" w:hAnsiTheme="majorBidi" w:cstheme="majorBidi"/>
                <w:color w:val="000000"/>
                <w:sz w:val="22"/>
                <w:szCs w:val="22"/>
                <w:u w:color="FFFFFF"/>
              </w:rPr>
              <w:t>Zeer vaak (1</w:t>
            </w:r>
            <w:r w:rsidR="001D5732" w:rsidRPr="00D21D8C">
              <w:rPr>
                <w:rFonts w:asciiTheme="majorBidi" w:hAnsiTheme="majorBidi" w:cstheme="majorBidi"/>
                <w:color w:val="000000"/>
                <w:sz w:val="22"/>
                <w:szCs w:val="22"/>
                <w:u w:color="FFFFFF"/>
              </w:rPr>
              <w:t>8,4</w:t>
            </w:r>
            <w:r w:rsidRPr="00D21D8C">
              <w:rPr>
                <w:rFonts w:asciiTheme="majorBidi" w:hAnsiTheme="majorBidi" w:cstheme="majorBidi"/>
                <w:color w:val="000000"/>
                <w:sz w:val="22"/>
                <w:szCs w:val="22"/>
                <w:u w:color="FFFFFF"/>
              </w:rPr>
              <w:t>)</w:t>
            </w:r>
          </w:p>
        </w:tc>
        <w:tc>
          <w:tcPr>
            <w:tcW w:w="1423" w:type="dxa"/>
            <w:tcBorders>
              <w:top w:val="single" w:sz="4" w:space="0" w:color="000000"/>
              <w:left w:val="single" w:sz="4" w:space="0" w:color="000000"/>
              <w:bottom w:val="single" w:sz="4" w:space="0" w:color="000000"/>
              <w:right w:val="single" w:sz="4" w:space="0" w:color="000000"/>
            </w:tcBorders>
            <w:vAlign w:val="center"/>
          </w:tcPr>
          <w:p w14:paraId="7A3DAADF" w14:textId="742647FE" w:rsidR="00DF69E6" w:rsidRPr="00D21D8C" w:rsidRDefault="001D5732" w:rsidP="00DF69E6">
            <w:pPr>
              <w:pStyle w:val="Koptekst"/>
              <w:tabs>
                <w:tab w:val="clear" w:pos="4153"/>
                <w:tab w:val="clear" w:pos="8306"/>
              </w:tabs>
              <w:jc w:val="center"/>
              <w:rPr>
                <w:rFonts w:asciiTheme="majorBidi" w:hAnsiTheme="majorBidi" w:cstheme="majorBidi"/>
                <w:sz w:val="22"/>
                <w:szCs w:val="22"/>
              </w:rPr>
            </w:pPr>
            <w:r w:rsidRPr="00D21D8C">
              <w:rPr>
                <w:rFonts w:asciiTheme="majorBidi" w:hAnsiTheme="majorBidi" w:cstheme="majorBidi"/>
                <w:color w:val="000000"/>
                <w:sz w:val="22"/>
                <w:szCs w:val="22"/>
                <w:u w:color="FFFFFF"/>
              </w:rPr>
              <w:t>1,2</w:t>
            </w:r>
          </w:p>
        </w:tc>
      </w:tr>
      <w:tr w:rsidR="00DF69E6" w:rsidRPr="00D21D8C" w14:paraId="2C5B4139" w14:textId="77777777" w:rsidTr="00DF69E6">
        <w:tc>
          <w:tcPr>
            <w:tcW w:w="2615" w:type="dxa"/>
            <w:tcBorders>
              <w:top w:val="single" w:sz="4" w:space="0" w:color="000000"/>
              <w:left w:val="single" w:sz="4" w:space="0" w:color="000000"/>
              <w:bottom w:val="single" w:sz="4" w:space="0" w:color="000000"/>
              <w:right w:val="single" w:sz="4" w:space="0" w:color="000000"/>
            </w:tcBorders>
          </w:tcPr>
          <w:p w14:paraId="32B56BB3" w14:textId="77777777" w:rsidR="00DF69E6" w:rsidRPr="00D21D8C" w:rsidRDefault="00DF69E6" w:rsidP="00DF69E6">
            <w:pPr>
              <w:spacing w:line="240" w:lineRule="auto"/>
              <w:rPr>
                <w:rFonts w:asciiTheme="majorBidi" w:hAnsiTheme="majorBidi" w:cstheme="majorBidi"/>
                <w:szCs w:val="22"/>
              </w:rPr>
            </w:pPr>
            <w:r w:rsidRPr="00D21D8C">
              <w:rPr>
                <w:rFonts w:asciiTheme="majorBidi" w:hAnsiTheme="majorBidi" w:cstheme="majorBidi"/>
                <w:color w:val="000000"/>
                <w:szCs w:val="22"/>
                <w:u w:color="FFFFFF"/>
              </w:rPr>
              <w:t>Skeletspierstelsel- en bindweefselaandoeningen</w:t>
            </w:r>
          </w:p>
        </w:tc>
        <w:tc>
          <w:tcPr>
            <w:tcW w:w="2110" w:type="dxa"/>
            <w:tcBorders>
              <w:top w:val="single" w:sz="4" w:space="0" w:color="000000"/>
              <w:left w:val="single" w:sz="4" w:space="0" w:color="000000"/>
              <w:bottom w:val="single" w:sz="4" w:space="0" w:color="000000"/>
              <w:right w:val="single" w:sz="4" w:space="0" w:color="000000"/>
            </w:tcBorders>
          </w:tcPr>
          <w:p w14:paraId="74F18FAF" w14:textId="77777777" w:rsidR="00DF69E6" w:rsidRPr="00D21D8C" w:rsidRDefault="00DF69E6" w:rsidP="00DF69E6">
            <w:pPr>
              <w:pStyle w:val="Koptekst"/>
              <w:tabs>
                <w:tab w:val="clear" w:pos="4153"/>
                <w:tab w:val="clear" w:pos="8306"/>
              </w:tabs>
              <w:rPr>
                <w:rFonts w:asciiTheme="majorBidi" w:hAnsiTheme="majorBidi" w:cstheme="majorBidi"/>
                <w:sz w:val="22"/>
                <w:szCs w:val="22"/>
              </w:rPr>
            </w:pPr>
            <w:r w:rsidRPr="00D21D8C">
              <w:rPr>
                <w:rFonts w:asciiTheme="majorBidi" w:hAnsiTheme="majorBidi" w:cstheme="majorBidi"/>
                <w:color w:val="000000"/>
                <w:sz w:val="22"/>
                <w:szCs w:val="22"/>
                <w:u w:color="FFFFFF"/>
              </w:rPr>
              <w:t>Artralgie</w:t>
            </w:r>
          </w:p>
        </w:tc>
        <w:tc>
          <w:tcPr>
            <w:tcW w:w="2677" w:type="dxa"/>
            <w:tcBorders>
              <w:top w:val="single" w:sz="4" w:space="0" w:color="000000"/>
              <w:left w:val="single" w:sz="4" w:space="0" w:color="000000"/>
              <w:bottom w:val="single" w:sz="4" w:space="0" w:color="000000"/>
              <w:right w:val="single" w:sz="4" w:space="0" w:color="000000"/>
            </w:tcBorders>
            <w:vAlign w:val="center"/>
          </w:tcPr>
          <w:p w14:paraId="72222EB9" w14:textId="7BA4D58E" w:rsidR="00DF69E6" w:rsidRPr="00D21D8C" w:rsidRDefault="00DF69E6" w:rsidP="00DF69E6">
            <w:pPr>
              <w:pStyle w:val="Koptekst"/>
              <w:tabs>
                <w:tab w:val="clear" w:pos="4153"/>
                <w:tab w:val="clear" w:pos="8306"/>
              </w:tabs>
              <w:jc w:val="center"/>
              <w:rPr>
                <w:rFonts w:asciiTheme="majorBidi" w:hAnsiTheme="majorBidi" w:cstheme="majorBidi"/>
                <w:strike/>
                <w:sz w:val="22"/>
                <w:szCs w:val="22"/>
              </w:rPr>
            </w:pPr>
            <w:r w:rsidRPr="00D21D8C">
              <w:rPr>
                <w:rFonts w:asciiTheme="majorBidi" w:hAnsiTheme="majorBidi" w:cstheme="majorBidi"/>
                <w:color w:val="000000"/>
                <w:sz w:val="22"/>
                <w:szCs w:val="22"/>
                <w:u w:color="FFFFFF"/>
              </w:rPr>
              <w:t>Zeer vaak (</w:t>
            </w:r>
            <w:r w:rsidR="001D5732" w:rsidRPr="00D21D8C">
              <w:rPr>
                <w:rFonts w:asciiTheme="majorBidi" w:hAnsiTheme="majorBidi" w:cstheme="majorBidi"/>
                <w:color w:val="000000"/>
                <w:sz w:val="22"/>
                <w:szCs w:val="22"/>
                <w:u w:color="FFFFFF"/>
              </w:rPr>
              <w:t>14,6</w:t>
            </w:r>
            <w:r w:rsidRPr="00D21D8C">
              <w:rPr>
                <w:rFonts w:asciiTheme="majorBidi" w:hAnsiTheme="majorBidi" w:cstheme="majorBidi"/>
                <w:color w:val="000000"/>
                <w:sz w:val="22"/>
                <w:szCs w:val="22"/>
                <w:u w:color="FFFFFF"/>
              </w:rPr>
              <w:t>)</w:t>
            </w:r>
          </w:p>
        </w:tc>
        <w:tc>
          <w:tcPr>
            <w:tcW w:w="1423" w:type="dxa"/>
            <w:tcBorders>
              <w:top w:val="single" w:sz="4" w:space="0" w:color="000000"/>
              <w:left w:val="single" w:sz="4" w:space="0" w:color="000000"/>
              <w:bottom w:val="single" w:sz="4" w:space="0" w:color="000000"/>
              <w:right w:val="single" w:sz="4" w:space="0" w:color="000000"/>
            </w:tcBorders>
            <w:vAlign w:val="center"/>
          </w:tcPr>
          <w:p w14:paraId="24675CAE" w14:textId="7DA19335" w:rsidR="00DF69E6" w:rsidRPr="00D21D8C" w:rsidRDefault="001D5732" w:rsidP="00DF69E6">
            <w:pPr>
              <w:pStyle w:val="Koptekst"/>
              <w:tabs>
                <w:tab w:val="clear" w:pos="4153"/>
                <w:tab w:val="clear" w:pos="8306"/>
              </w:tabs>
              <w:jc w:val="center"/>
              <w:rPr>
                <w:rFonts w:asciiTheme="majorBidi" w:hAnsiTheme="majorBidi" w:cstheme="majorBidi"/>
                <w:sz w:val="22"/>
                <w:szCs w:val="22"/>
              </w:rPr>
            </w:pPr>
            <w:r w:rsidRPr="00D21D8C">
              <w:rPr>
                <w:rFonts w:asciiTheme="majorBidi" w:hAnsiTheme="majorBidi" w:cstheme="majorBidi"/>
                <w:color w:val="000000"/>
                <w:sz w:val="22"/>
                <w:szCs w:val="22"/>
                <w:u w:color="FFFFFF"/>
              </w:rPr>
              <w:t>1,2</w:t>
            </w:r>
          </w:p>
        </w:tc>
      </w:tr>
      <w:tr w:rsidR="001D5732" w:rsidRPr="00D21D8C" w14:paraId="6821D5DD" w14:textId="77777777" w:rsidTr="001F0E8E">
        <w:tc>
          <w:tcPr>
            <w:tcW w:w="2615" w:type="dxa"/>
            <w:vMerge w:val="restart"/>
            <w:tcBorders>
              <w:top w:val="single" w:sz="4" w:space="0" w:color="000000"/>
              <w:left w:val="single" w:sz="4" w:space="0" w:color="000000"/>
              <w:right w:val="single" w:sz="4" w:space="0" w:color="000000"/>
            </w:tcBorders>
          </w:tcPr>
          <w:p w14:paraId="43E20285" w14:textId="77777777" w:rsidR="001D5732" w:rsidRPr="00D21D8C" w:rsidRDefault="001D5732" w:rsidP="00DF69E6">
            <w:pPr>
              <w:spacing w:line="240" w:lineRule="auto"/>
              <w:rPr>
                <w:rFonts w:asciiTheme="majorBidi" w:hAnsiTheme="majorBidi" w:cstheme="majorBidi"/>
                <w:szCs w:val="22"/>
              </w:rPr>
            </w:pPr>
            <w:r w:rsidRPr="00D21D8C">
              <w:rPr>
                <w:rFonts w:asciiTheme="majorBidi" w:hAnsiTheme="majorBidi" w:cstheme="majorBidi"/>
                <w:color w:val="000000"/>
                <w:szCs w:val="22"/>
                <w:u w:color="FFFFFF"/>
              </w:rPr>
              <w:t>Algemene aandoeningen en toedieningsplaats-stoornissen</w:t>
            </w:r>
          </w:p>
        </w:tc>
        <w:tc>
          <w:tcPr>
            <w:tcW w:w="2110" w:type="dxa"/>
            <w:tcBorders>
              <w:top w:val="single" w:sz="4" w:space="0" w:color="000000"/>
              <w:left w:val="single" w:sz="4" w:space="0" w:color="000000"/>
              <w:bottom w:val="single" w:sz="4" w:space="0" w:color="000000"/>
              <w:right w:val="single" w:sz="4" w:space="0" w:color="000000"/>
            </w:tcBorders>
          </w:tcPr>
          <w:p w14:paraId="508787D9" w14:textId="77777777" w:rsidR="001D5732" w:rsidRPr="00D21D8C" w:rsidRDefault="001D5732" w:rsidP="00DF69E6">
            <w:pPr>
              <w:pStyle w:val="Koptekst"/>
              <w:tabs>
                <w:tab w:val="clear" w:pos="4153"/>
                <w:tab w:val="clear" w:pos="8306"/>
              </w:tabs>
              <w:rPr>
                <w:rFonts w:asciiTheme="majorBidi" w:hAnsiTheme="majorBidi" w:cstheme="majorBidi"/>
                <w:iCs/>
                <w:sz w:val="22"/>
                <w:szCs w:val="22"/>
              </w:rPr>
            </w:pPr>
            <w:r w:rsidRPr="00D21D8C">
              <w:rPr>
                <w:rFonts w:asciiTheme="majorBidi" w:hAnsiTheme="majorBidi" w:cstheme="majorBidi"/>
                <w:iCs/>
                <w:color w:val="000000"/>
                <w:sz w:val="22"/>
                <w:szCs w:val="22"/>
                <w:u w:color="FFFFFF"/>
              </w:rPr>
              <w:t>Vermoeidheid</w:t>
            </w:r>
          </w:p>
        </w:tc>
        <w:tc>
          <w:tcPr>
            <w:tcW w:w="2677" w:type="dxa"/>
            <w:tcBorders>
              <w:top w:val="single" w:sz="4" w:space="0" w:color="000000"/>
              <w:left w:val="single" w:sz="4" w:space="0" w:color="000000"/>
              <w:bottom w:val="single" w:sz="4" w:space="0" w:color="000000"/>
              <w:right w:val="single" w:sz="4" w:space="0" w:color="000000"/>
            </w:tcBorders>
            <w:vAlign w:val="center"/>
          </w:tcPr>
          <w:p w14:paraId="7A73805F" w14:textId="3A994460" w:rsidR="001D5732" w:rsidRPr="00D21D8C" w:rsidRDefault="001D5732" w:rsidP="00DF69E6">
            <w:pPr>
              <w:pStyle w:val="Koptekst"/>
              <w:tabs>
                <w:tab w:val="clear" w:pos="4153"/>
                <w:tab w:val="clear" w:pos="8306"/>
              </w:tabs>
              <w:jc w:val="center"/>
              <w:rPr>
                <w:rFonts w:asciiTheme="majorBidi" w:hAnsiTheme="majorBidi" w:cstheme="majorBidi"/>
                <w:strike/>
                <w:sz w:val="22"/>
                <w:szCs w:val="22"/>
              </w:rPr>
            </w:pPr>
            <w:r w:rsidRPr="00D21D8C">
              <w:rPr>
                <w:rFonts w:asciiTheme="majorBidi" w:hAnsiTheme="majorBidi" w:cstheme="majorBidi"/>
                <w:color w:val="000000"/>
                <w:sz w:val="22"/>
                <w:szCs w:val="22"/>
                <w:u w:color="FFFFFF"/>
              </w:rPr>
              <w:t>Zeer vaak (26,2)</w:t>
            </w:r>
          </w:p>
        </w:tc>
        <w:tc>
          <w:tcPr>
            <w:tcW w:w="1423" w:type="dxa"/>
            <w:tcBorders>
              <w:top w:val="single" w:sz="4" w:space="0" w:color="000000"/>
              <w:left w:val="single" w:sz="4" w:space="0" w:color="000000"/>
              <w:bottom w:val="single" w:sz="4" w:space="0" w:color="000000"/>
              <w:right w:val="single" w:sz="4" w:space="0" w:color="000000"/>
            </w:tcBorders>
            <w:vAlign w:val="center"/>
          </w:tcPr>
          <w:p w14:paraId="3C10B5F9" w14:textId="24E0F4E9" w:rsidR="001D5732" w:rsidRPr="00D21D8C" w:rsidRDefault="001D5732" w:rsidP="00DF69E6">
            <w:pPr>
              <w:pStyle w:val="Koptekst"/>
              <w:tabs>
                <w:tab w:val="clear" w:pos="4153"/>
                <w:tab w:val="clear" w:pos="8306"/>
              </w:tabs>
              <w:jc w:val="center"/>
              <w:rPr>
                <w:rFonts w:asciiTheme="majorBidi" w:hAnsiTheme="majorBidi" w:cstheme="majorBidi"/>
                <w:sz w:val="22"/>
                <w:szCs w:val="22"/>
              </w:rPr>
            </w:pPr>
            <w:bookmarkStart w:id="5" w:name="_Hlk120782545"/>
            <w:bookmarkEnd w:id="5"/>
            <w:r w:rsidRPr="00D21D8C">
              <w:rPr>
                <w:rFonts w:asciiTheme="majorBidi" w:hAnsiTheme="majorBidi" w:cstheme="majorBidi"/>
                <w:color w:val="000000"/>
                <w:sz w:val="22"/>
                <w:szCs w:val="22"/>
                <w:u w:color="FFFFFF"/>
              </w:rPr>
              <w:t>1,9</w:t>
            </w:r>
          </w:p>
        </w:tc>
      </w:tr>
      <w:tr w:rsidR="00862628" w:rsidRPr="00D21D8C" w14:paraId="4DF0DFC2" w14:textId="77777777" w:rsidTr="001F0E8E">
        <w:tc>
          <w:tcPr>
            <w:tcW w:w="2615" w:type="dxa"/>
            <w:vMerge/>
            <w:tcBorders>
              <w:left w:val="single" w:sz="4" w:space="0" w:color="000000"/>
              <w:bottom w:val="single" w:sz="4" w:space="0" w:color="000000"/>
              <w:right w:val="single" w:sz="4" w:space="0" w:color="000000"/>
            </w:tcBorders>
          </w:tcPr>
          <w:p w14:paraId="634690B6" w14:textId="77777777" w:rsidR="00862628" w:rsidRPr="00D21D8C" w:rsidRDefault="00862628" w:rsidP="00862628">
            <w:pPr>
              <w:spacing w:line="240" w:lineRule="auto"/>
              <w:rPr>
                <w:rFonts w:asciiTheme="majorBidi" w:hAnsiTheme="majorBidi" w:cstheme="majorBidi"/>
                <w:color w:val="000000"/>
                <w:szCs w:val="22"/>
                <w:u w:color="FFFFFF"/>
              </w:rPr>
            </w:pPr>
          </w:p>
        </w:tc>
        <w:tc>
          <w:tcPr>
            <w:tcW w:w="2110" w:type="dxa"/>
            <w:tcBorders>
              <w:top w:val="single" w:sz="4" w:space="0" w:color="000000"/>
              <w:left w:val="single" w:sz="4" w:space="0" w:color="000000"/>
              <w:bottom w:val="single" w:sz="4" w:space="0" w:color="000000"/>
              <w:right w:val="single" w:sz="4" w:space="0" w:color="000000"/>
            </w:tcBorders>
          </w:tcPr>
          <w:p w14:paraId="252A8636" w14:textId="147D9659" w:rsidR="00862628" w:rsidRPr="00D21D8C" w:rsidRDefault="00862628" w:rsidP="00862628">
            <w:pPr>
              <w:pStyle w:val="Koptekst"/>
              <w:tabs>
                <w:tab w:val="clear" w:pos="4153"/>
                <w:tab w:val="clear" w:pos="8306"/>
              </w:tabs>
              <w:rPr>
                <w:rFonts w:asciiTheme="majorBidi" w:hAnsiTheme="majorBidi" w:cstheme="majorBidi"/>
                <w:iCs/>
                <w:color w:val="000000"/>
                <w:sz w:val="22"/>
                <w:szCs w:val="22"/>
                <w:u w:color="FFFFFF"/>
              </w:rPr>
            </w:pPr>
            <w:r w:rsidRPr="00D21D8C">
              <w:rPr>
                <w:rFonts w:asciiTheme="majorBidi" w:hAnsiTheme="majorBidi" w:cstheme="majorBidi"/>
                <w:iCs/>
                <w:color w:val="000000"/>
                <w:sz w:val="22"/>
                <w:szCs w:val="22"/>
                <w:u w:color="FFFFFF"/>
              </w:rPr>
              <w:t>Perifeer oedeem</w:t>
            </w:r>
          </w:p>
        </w:tc>
        <w:tc>
          <w:tcPr>
            <w:tcW w:w="2677" w:type="dxa"/>
            <w:tcBorders>
              <w:top w:val="single" w:sz="4" w:space="0" w:color="000000"/>
              <w:left w:val="single" w:sz="4" w:space="0" w:color="000000"/>
              <w:bottom w:val="single" w:sz="4" w:space="0" w:color="000000"/>
              <w:right w:val="single" w:sz="4" w:space="0" w:color="000000"/>
            </w:tcBorders>
            <w:vAlign w:val="center"/>
          </w:tcPr>
          <w:p w14:paraId="6B6B9543" w14:textId="2FC6619C" w:rsidR="00862628" w:rsidRPr="00D21D8C" w:rsidRDefault="00862628" w:rsidP="00862628">
            <w:pPr>
              <w:pStyle w:val="Koptekst"/>
              <w:tabs>
                <w:tab w:val="clear" w:pos="4153"/>
                <w:tab w:val="clear" w:pos="8306"/>
              </w:tabs>
              <w:jc w:val="center"/>
              <w:rPr>
                <w:rFonts w:asciiTheme="majorBidi" w:hAnsiTheme="majorBidi" w:cstheme="majorBidi"/>
                <w:color w:val="000000"/>
                <w:sz w:val="22"/>
                <w:szCs w:val="22"/>
                <w:u w:color="FFFFFF"/>
              </w:rPr>
            </w:pPr>
            <w:r w:rsidRPr="00D21D8C">
              <w:rPr>
                <w:rFonts w:asciiTheme="majorBidi" w:hAnsiTheme="majorBidi" w:cstheme="majorBidi"/>
                <w:color w:val="000000"/>
                <w:sz w:val="22"/>
                <w:szCs w:val="22"/>
                <w:u w:color="FFFFFF"/>
              </w:rPr>
              <w:t>Zeer vaak (</w:t>
            </w:r>
            <w:r w:rsidR="0060780E" w:rsidRPr="00D21D8C">
              <w:rPr>
                <w:rFonts w:asciiTheme="majorBidi" w:hAnsiTheme="majorBidi" w:cstheme="majorBidi"/>
                <w:color w:val="000000"/>
                <w:sz w:val="22"/>
                <w:szCs w:val="22"/>
                <w:u w:color="FFFFFF"/>
              </w:rPr>
              <w:t>11,6)</w:t>
            </w:r>
          </w:p>
        </w:tc>
        <w:tc>
          <w:tcPr>
            <w:tcW w:w="1423" w:type="dxa"/>
            <w:tcBorders>
              <w:top w:val="single" w:sz="4" w:space="0" w:color="000000"/>
              <w:left w:val="single" w:sz="4" w:space="0" w:color="000000"/>
              <w:bottom w:val="single" w:sz="4" w:space="0" w:color="000000"/>
              <w:right w:val="single" w:sz="4" w:space="0" w:color="000000"/>
            </w:tcBorders>
            <w:vAlign w:val="center"/>
          </w:tcPr>
          <w:p w14:paraId="194A2EC4" w14:textId="272F7554" w:rsidR="00862628" w:rsidRPr="00D21D8C" w:rsidDel="001D5732" w:rsidRDefault="0060780E" w:rsidP="00862628">
            <w:pPr>
              <w:pStyle w:val="Koptekst"/>
              <w:tabs>
                <w:tab w:val="clear" w:pos="4153"/>
                <w:tab w:val="clear" w:pos="8306"/>
              </w:tabs>
              <w:jc w:val="center"/>
              <w:rPr>
                <w:rFonts w:asciiTheme="majorBidi" w:hAnsiTheme="majorBidi" w:cstheme="majorBidi"/>
                <w:color w:val="000000"/>
                <w:sz w:val="22"/>
                <w:szCs w:val="22"/>
                <w:u w:color="FFFFFF"/>
              </w:rPr>
            </w:pPr>
            <w:r w:rsidRPr="00D21D8C">
              <w:rPr>
                <w:rFonts w:asciiTheme="majorBidi" w:hAnsiTheme="majorBidi" w:cstheme="majorBidi"/>
                <w:color w:val="000000"/>
                <w:sz w:val="22"/>
                <w:szCs w:val="22"/>
                <w:u w:color="FFFFFF"/>
              </w:rPr>
              <w:t>0,3</w:t>
            </w:r>
          </w:p>
        </w:tc>
      </w:tr>
    </w:tbl>
    <w:p w14:paraId="75167944" w14:textId="4890C9B8" w:rsidR="001A274F" w:rsidRPr="00D21D8C" w:rsidRDefault="00DA418A">
      <w:pPr>
        <w:pStyle w:val="TblFootnote"/>
        <w:keepNext w:val="0"/>
        <w:keepLines w:val="0"/>
        <w:rPr>
          <w:rFonts w:asciiTheme="majorBidi" w:eastAsia="SimSun" w:hAnsiTheme="majorBidi" w:cstheme="majorBidi"/>
          <w:sz w:val="22"/>
          <w:szCs w:val="22"/>
          <w:lang w:val="nl-NL" w:eastAsia="en-GB"/>
        </w:rPr>
      </w:pPr>
      <w:r w:rsidRPr="00D21D8C">
        <w:rPr>
          <w:rFonts w:asciiTheme="majorBidi" w:hAnsiTheme="majorBidi" w:cstheme="majorBidi"/>
          <w:color w:val="000000"/>
          <w:sz w:val="22"/>
          <w:szCs w:val="22"/>
          <w:u w:color="FFFFFF"/>
          <w:vertAlign w:val="superscript"/>
          <w:lang w:val="nl-NL"/>
        </w:rPr>
        <w:t>a</w:t>
      </w:r>
      <w:r w:rsidRPr="00D21D8C">
        <w:rPr>
          <w:rFonts w:asciiTheme="majorBidi" w:hAnsiTheme="majorBidi" w:cstheme="majorBidi"/>
          <w:color w:val="000000"/>
          <w:sz w:val="22"/>
          <w:szCs w:val="22"/>
          <w:u w:color="FFFFFF"/>
          <w:lang w:val="nl-NL"/>
        </w:rPr>
        <w:tab/>
      </w:r>
      <w:r w:rsidRPr="000D0EC8">
        <w:rPr>
          <w:rFonts w:asciiTheme="majorBidi" w:hAnsiTheme="majorBidi" w:cstheme="majorBidi"/>
          <w:color w:val="000000"/>
          <w:u w:color="FFFFFF"/>
          <w:lang w:val="nl-NL"/>
        </w:rPr>
        <w:t>Frequenties zijn afgeleid van blootstelling</w:t>
      </w:r>
      <w:r w:rsidR="00D8424D" w:rsidRPr="000D0EC8">
        <w:rPr>
          <w:rFonts w:asciiTheme="majorBidi" w:hAnsiTheme="majorBidi" w:cstheme="majorBidi"/>
          <w:color w:val="000000"/>
          <w:u w:color="FFFFFF"/>
          <w:lang w:val="nl-NL"/>
        </w:rPr>
        <w:t xml:space="preserve"> aan Jaypirca</w:t>
      </w:r>
      <w:r w:rsidRPr="000D0EC8">
        <w:rPr>
          <w:rFonts w:asciiTheme="majorBidi" w:hAnsiTheme="majorBidi" w:cstheme="majorBidi"/>
          <w:color w:val="000000"/>
          <w:u w:color="FFFFFF"/>
          <w:lang w:val="nl-NL"/>
        </w:rPr>
        <w:t xml:space="preserve"> bij patiënten met B-celmaligniteiten</w:t>
      </w:r>
    </w:p>
    <w:p w14:paraId="7A371AD0" w14:textId="3A563D5A" w:rsidR="001A274F" w:rsidRPr="00D21D8C" w:rsidRDefault="00DA418A">
      <w:pPr>
        <w:pStyle w:val="TblFootnote"/>
        <w:keepNext w:val="0"/>
        <w:keepLines w:val="0"/>
        <w:rPr>
          <w:rFonts w:asciiTheme="majorBidi" w:eastAsia="SimSun" w:hAnsiTheme="majorBidi" w:cstheme="majorBidi"/>
          <w:sz w:val="22"/>
          <w:szCs w:val="22"/>
          <w:lang w:val="nl-NL" w:eastAsia="en-GB"/>
        </w:rPr>
      </w:pPr>
      <w:r w:rsidRPr="00D21D8C">
        <w:rPr>
          <w:rFonts w:asciiTheme="majorBidi" w:hAnsiTheme="majorBidi" w:cstheme="majorBidi"/>
          <w:color w:val="000000"/>
          <w:sz w:val="22"/>
          <w:szCs w:val="22"/>
          <w:u w:color="FFFFFF"/>
          <w:vertAlign w:val="superscript"/>
          <w:lang w:val="nl-NL"/>
        </w:rPr>
        <w:t>b</w:t>
      </w:r>
      <w:r w:rsidRPr="00D21D8C">
        <w:rPr>
          <w:rFonts w:asciiTheme="majorBidi" w:hAnsiTheme="majorBidi" w:cstheme="majorBidi"/>
          <w:color w:val="000000"/>
          <w:sz w:val="22"/>
          <w:szCs w:val="22"/>
          <w:u w:color="FFFFFF"/>
          <w:lang w:val="nl-NL"/>
        </w:rPr>
        <w:tab/>
      </w:r>
      <w:r w:rsidRPr="000D0EC8">
        <w:rPr>
          <w:rFonts w:asciiTheme="majorBidi" w:hAnsiTheme="majorBidi" w:cstheme="majorBidi"/>
          <w:color w:val="000000"/>
          <w:u w:color="FFFFFF"/>
          <w:lang w:val="nl-NL"/>
        </w:rPr>
        <w:t xml:space="preserve">Omvat </w:t>
      </w:r>
      <w:r w:rsidR="00D8424D" w:rsidRPr="000D0EC8">
        <w:rPr>
          <w:rFonts w:asciiTheme="majorBidi" w:hAnsiTheme="majorBidi" w:cstheme="majorBidi"/>
          <w:color w:val="000000"/>
          <w:u w:color="FFFFFF"/>
          <w:lang w:val="nl-NL"/>
        </w:rPr>
        <w:t xml:space="preserve">meerdere termen </w:t>
      </w:r>
      <w:r w:rsidR="00635B16" w:rsidRPr="000D0EC8">
        <w:rPr>
          <w:rFonts w:asciiTheme="majorBidi" w:hAnsiTheme="majorBidi" w:cstheme="majorBidi"/>
          <w:color w:val="000000"/>
          <w:u w:color="FFFFFF"/>
          <w:lang w:val="nl-NL"/>
        </w:rPr>
        <w:t xml:space="preserve">van </w:t>
      </w:r>
      <w:r w:rsidRPr="000D0EC8">
        <w:rPr>
          <w:rFonts w:asciiTheme="majorBidi" w:hAnsiTheme="majorBidi" w:cstheme="majorBidi"/>
          <w:color w:val="000000"/>
          <w:u w:color="FFFFFF"/>
          <w:lang w:val="nl-NL"/>
        </w:rPr>
        <w:t>bijwerkingen</w:t>
      </w:r>
      <w:r w:rsidRPr="00D21D8C">
        <w:rPr>
          <w:rFonts w:asciiTheme="majorBidi" w:hAnsiTheme="majorBidi" w:cstheme="majorBidi"/>
          <w:color w:val="000000"/>
          <w:sz w:val="22"/>
          <w:szCs w:val="22"/>
          <w:u w:color="FFFFFF"/>
          <w:lang w:val="nl-NL"/>
        </w:rPr>
        <w:t xml:space="preserve"> </w:t>
      </w:r>
    </w:p>
    <w:p w14:paraId="2F0C9A2B" w14:textId="652066E8" w:rsidR="001A274F" w:rsidRPr="000D0EC8" w:rsidRDefault="00DA418A">
      <w:pPr>
        <w:pStyle w:val="TblFootnote"/>
        <w:keepNext w:val="0"/>
        <w:keepLines w:val="0"/>
        <w:rPr>
          <w:rFonts w:asciiTheme="majorBidi" w:hAnsiTheme="majorBidi" w:cstheme="majorBidi"/>
          <w:lang w:val="nl-NL"/>
        </w:rPr>
      </w:pPr>
      <w:r w:rsidRPr="00D21D8C">
        <w:rPr>
          <w:rFonts w:asciiTheme="majorBidi" w:hAnsiTheme="majorBidi" w:cstheme="majorBidi"/>
          <w:color w:val="000000"/>
          <w:sz w:val="22"/>
          <w:szCs w:val="22"/>
          <w:u w:color="FFFFFF"/>
          <w:vertAlign w:val="superscript"/>
          <w:lang w:val="nl-NL" w:eastAsia="en-GB"/>
        </w:rPr>
        <w:t>c</w:t>
      </w:r>
      <w:r w:rsidRPr="00D21D8C">
        <w:rPr>
          <w:rFonts w:asciiTheme="majorBidi" w:hAnsiTheme="majorBidi" w:cstheme="majorBidi"/>
          <w:color w:val="000000"/>
          <w:sz w:val="22"/>
          <w:szCs w:val="22"/>
          <w:u w:color="FFFFFF"/>
          <w:vertAlign w:val="superscript"/>
          <w:lang w:val="nl-NL" w:eastAsia="en-GB"/>
        </w:rPr>
        <w:tab/>
      </w:r>
      <w:r w:rsidR="00D8424D" w:rsidRPr="000D0EC8">
        <w:rPr>
          <w:rFonts w:asciiTheme="majorBidi" w:hAnsiTheme="majorBidi" w:cstheme="majorBidi"/>
          <w:color w:val="000000"/>
          <w:u w:color="FFFFFF"/>
          <w:lang w:val="nl-NL" w:eastAsia="en-GB"/>
        </w:rPr>
        <w:t xml:space="preserve">Toekenning </w:t>
      </w:r>
      <w:r w:rsidRPr="000D0EC8">
        <w:rPr>
          <w:rFonts w:asciiTheme="majorBidi" w:hAnsiTheme="majorBidi" w:cstheme="majorBidi"/>
          <w:color w:val="000000"/>
          <w:u w:color="FFFFFF"/>
          <w:lang w:val="nl-NL" w:eastAsia="en-GB"/>
        </w:rPr>
        <w:t xml:space="preserve">van </w:t>
      </w:r>
      <w:r w:rsidR="00E44ADC" w:rsidRPr="000D0EC8">
        <w:rPr>
          <w:rFonts w:asciiTheme="majorBidi" w:hAnsiTheme="majorBidi" w:cstheme="majorBidi"/>
          <w:color w:val="000000"/>
          <w:u w:color="FFFFFF"/>
          <w:lang w:val="nl-NL" w:eastAsia="en-GB"/>
        </w:rPr>
        <w:t xml:space="preserve">de mate van </w:t>
      </w:r>
      <w:r w:rsidR="00D8424D" w:rsidRPr="000D0EC8">
        <w:rPr>
          <w:rFonts w:asciiTheme="majorBidi" w:hAnsiTheme="majorBidi" w:cstheme="majorBidi"/>
          <w:color w:val="000000"/>
          <w:u w:color="FFFFFF"/>
          <w:lang w:val="nl-NL" w:eastAsia="en-GB"/>
        </w:rPr>
        <w:t>ernst</w:t>
      </w:r>
      <w:r w:rsidR="00335981" w:rsidRPr="000D0EC8">
        <w:rPr>
          <w:rFonts w:asciiTheme="majorBidi" w:hAnsiTheme="majorBidi" w:cstheme="majorBidi"/>
          <w:color w:val="000000"/>
          <w:u w:color="FFFFFF"/>
          <w:lang w:val="nl-NL" w:eastAsia="en-GB"/>
        </w:rPr>
        <w:t xml:space="preserve"> is</w:t>
      </w:r>
      <w:r w:rsidRPr="000D0EC8">
        <w:rPr>
          <w:rFonts w:asciiTheme="majorBidi" w:hAnsiTheme="majorBidi" w:cstheme="majorBidi"/>
          <w:color w:val="000000"/>
          <w:u w:color="FFFFFF"/>
          <w:lang w:val="nl-NL" w:eastAsia="en-GB"/>
        </w:rPr>
        <w:t xml:space="preserve"> op basis van de </w:t>
      </w:r>
      <w:r w:rsidRPr="000D0EC8">
        <w:rPr>
          <w:rFonts w:asciiTheme="majorBidi" w:hAnsiTheme="majorBidi" w:cstheme="majorBidi"/>
          <w:i/>
          <w:iCs/>
          <w:color w:val="000000"/>
          <w:u w:color="FFFFFF"/>
          <w:lang w:val="nl-NL" w:eastAsia="en-GB"/>
        </w:rPr>
        <w:t>National Cancer Institute Common Terminology Criteria for Adverse Events</w:t>
      </w:r>
      <w:r w:rsidRPr="000D0EC8">
        <w:rPr>
          <w:rFonts w:asciiTheme="majorBidi" w:hAnsiTheme="majorBidi" w:cstheme="majorBidi"/>
          <w:color w:val="000000"/>
          <w:u w:color="FFFFFF"/>
          <w:lang w:val="nl-NL" w:eastAsia="en-GB"/>
        </w:rPr>
        <w:t xml:space="preserve"> (NCI-CTCAE) versie</w:t>
      </w:r>
      <w:r w:rsidR="00A4340E" w:rsidRPr="000D0EC8">
        <w:rPr>
          <w:rFonts w:asciiTheme="majorBidi" w:hAnsiTheme="majorBidi" w:cstheme="majorBidi"/>
          <w:color w:val="000000"/>
          <w:sz w:val="18"/>
          <w:szCs w:val="18"/>
          <w:u w:color="FFFFFF"/>
          <w:lang w:val="nl-NL" w:eastAsia="en-GB"/>
        </w:rPr>
        <w:t> </w:t>
      </w:r>
      <w:r w:rsidRPr="000D0EC8">
        <w:rPr>
          <w:rFonts w:asciiTheme="majorBidi" w:hAnsiTheme="majorBidi" w:cstheme="majorBidi"/>
          <w:color w:val="000000"/>
          <w:u w:color="FFFFFF"/>
          <w:lang w:val="nl-NL" w:eastAsia="en-GB"/>
        </w:rPr>
        <w:t>5.0</w:t>
      </w:r>
    </w:p>
    <w:p w14:paraId="11834029" w14:textId="77777777" w:rsidR="001A274F" w:rsidRPr="00D21D8C" w:rsidRDefault="001A274F">
      <w:pPr>
        <w:spacing w:line="240" w:lineRule="auto"/>
        <w:jc w:val="both"/>
        <w:rPr>
          <w:rFonts w:asciiTheme="majorBidi" w:hAnsiTheme="majorBidi" w:cstheme="majorBidi"/>
          <w:szCs w:val="22"/>
        </w:rPr>
      </w:pPr>
    </w:p>
    <w:p w14:paraId="734124E1" w14:textId="77777777"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val="single" w:color="000000"/>
        </w:rPr>
        <w:t>Melding van vermoedelijke bijwerkingen</w:t>
      </w:r>
    </w:p>
    <w:p w14:paraId="2530D097" w14:textId="77777777" w:rsidR="001A274F" w:rsidRPr="00D21D8C" w:rsidRDefault="001A274F">
      <w:pPr>
        <w:keepNext/>
        <w:spacing w:line="240" w:lineRule="auto"/>
        <w:rPr>
          <w:rFonts w:asciiTheme="majorBidi" w:hAnsiTheme="majorBidi" w:cstheme="majorBidi"/>
          <w:szCs w:val="22"/>
          <w:u w:val="single"/>
        </w:rPr>
      </w:pPr>
    </w:p>
    <w:p w14:paraId="5CBEE647" w14:textId="5C6929D4" w:rsidR="001A274F" w:rsidRPr="00D21D8C" w:rsidRDefault="00DA418A" w:rsidP="003C1508">
      <w:pPr>
        <w:keepNext/>
        <w:rPr>
          <w:rFonts w:asciiTheme="majorBidi" w:hAnsiTheme="majorBidi" w:cstheme="majorBidi"/>
          <w:szCs w:val="22"/>
        </w:rPr>
      </w:pPr>
      <w:r w:rsidRPr="00D21D8C">
        <w:rPr>
          <w:rFonts w:asciiTheme="majorBidi" w:hAnsiTheme="majorBidi" w:cstheme="majorBidi"/>
          <w:color w:val="000000"/>
          <w:szCs w:val="22"/>
          <w:u w:color="FFFFFF"/>
        </w:rPr>
        <w:t>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w:t>
      </w:r>
      <w:r w:rsidR="003C1508">
        <w:rPr>
          <w:rFonts w:asciiTheme="majorBidi" w:hAnsiTheme="majorBidi" w:cstheme="majorBidi"/>
          <w:color w:val="000000"/>
          <w:szCs w:val="22"/>
          <w:u w:color="FFFFFF"/>
        </w:rPr>
        <w:t xml:space="preserve"> </w:t>
      </w:r>
      <w:r w:rsidR="003C1508" w:rsidRPr="003C1508">
        <w:rPr>
          <w:rFonts w:asciiTheme="majorBidi" w:hAnsiTheme="majorBidi" w:cstheme="majorBidi"/>
          <w:color w:val="000000"/>
          <w:szCs w:val="22"/>
          <w:u w:color="FFFFFF"/>
        </w:rPr>
        <w:t xml:space="preserve">het Federaal Agentschap voor Geneesmiddelen en Gezondheidsproducten, </w:t>
      </w:r>
      <w:hyperlink r:id="rId12" w:history="1">
        <w:r w:rsidR="003C1508" w:rsidRPr="003C1508">
          <w:rPr>
            <w:rStyle w:val="Hyperlink"/>
            <w:rFonts w:asciiTheme="majorBidi" w:hAnsiTheme="majorBidi" w:cstheme="majorBidi"/>
            <w:szCs w:val="22"/>
          </w:rPr>
          <w:t>www.fagg.be</w:t>
        </w:r>
      </w:hyperlink>
      <w:r w:rsidR="003C1508" w:rsidRPr="003C1508">
        <w:rPr>
          <w:rFonts w:asciiTheme="majorBidi" w:hAnsiTheme="majorBidi" w:cstheme="majorBidi"/>
          <w:color w:val="000000"/>
          <w:szCs w:val="22"/>
          <w:u w:color="FFFFFF"/>
        </w:rPr>
        <w:t xml:space="preserve">, Afdeling Vigilantie: Website: </w:t>
      </w:r>
      <w:hyperlink r:id="rId13" w:history="1">
        <w:r w:rsidR="003C1508" w:rsidRPr="003C1508">
          <w:rPr>
            <w:rStyle w:val="Hyperlink"/>
            <w:rFonts w:asciiTheme="majorBidi" w:hAnsiTheme="majorBidi" w:cstheme="majorBidi"/>
            <w:szCs w:val="22"/>
          </w:rPr>
          <w:t>www.eenbijwerkingmelden.be</w:t>
        </w:r>
      </w:hyperlink>
      <w:r w:rsidR="003C1508" w:rsidRPr="003C1508">
        <w:rPr>
          <w:rFonts w:asciiTheme="majorBidi" w:hAnsiTheme="majorBidi" w:cstheme="majorBidi"/>
          <w:color w:val="000000"/>
          <w:szCs w:val="22"/>
          <w:u w:color="FFFFFF"/>
        </w:rPr>
        <w:t>, e-mail: adr@fagg-afmps.be.</w:t>
      </w:r>
    </w:p>
    <w:p w14:paraId="22951F31" w14:textId="77777777" w:rsidR="001A274F" w:rsidRPr="00D21D8C" w:rsidRDefault="001A274F">
      <w:pPr>
        <w:spacing w:line="240" w:lineRule="auto"/>
        <w:rPr>
          <w:rFonts w:asciiTheme="majorBidi" w:hAnsiTheme="majorBidi" w:cstheme="majorBidi"/>
          <w:szCs w:val="22"/>
        </w:rPr>
      </w:pPr>
    </w:p>
    <w:p w14:paraId="4DDA55C5" w14:textId="57860FDF" w:rsidR="001A274F" w:rsidRPr="00D21D8C" w:rsidRDefault="00DA418A">
      <w:pPr>
        <w:keepNext/>
        <w:spacing w:line="240" w:lineRule="auto"/>
        <w:ind w:left="567" w:hanging="567"/>
        <w:outlineLvl w:val="0"/>
        <w:rPr>
          <w:rFonts w:asciiTheme="majorBidi" w:hAnsiTheme="majorBidi" w:cstheme="majorBidi"/>
          <w:szCs w:val="22"/>
        </w:rPr>
      </w:pPr>
      <w:r w:rsidRPr="00D21D8C">
        <w:rPr>
          <w:rFonts w:asciiTheme="majorBidi" w:hAnsiTheme="majorBidi" w:cstheme="majorBidi"/>
          <w:b/>
          <w:bCs/>
          <w:color w:val="000000"/>
          <w:szCs w:val="22"/>
          <w:u w:color="FFFFFF"/>
        </w:rPr>
        <w:t>4.9</w:t>
      </w:r>
      <w:r w:rsidRPr="00D21D8C">
        <w:rPr>
          <w:rFonts w:asciiTheme="majorBidi" w:hAnsiTheme="majorBidi" w:cstheme="majorBidi"/>
          <w:b/>
          <w:bCs/>
          <w:color w:val="000000"/>
          <w:szCs w:val="22"/>
          <w:u w:color="FFFFFF"/>
        </w:rPr>
        <w:tab/>
        <w:t>Overdosering</w:t>
      </w:r>
      <w:r w:rsidR="0011019E" w:rsidRPr="00D21D8C">
        <w:rPr>
          <w:rFonts w:asciiTheme="majorBidi" w:hAnsiTheme="majorBidi" w:cstheme="majorBidi"/>
          <w:b/>
          <w:bCs/>
          <w:color w:val="000000"/>
          <w:szCs w:val="22"/>
          <w:u w:color="FFFFFF"/>
        </w:rPr>
        <w:fldChar w:fldCharType="begin"/>
      </w:r>
      <w:r w:rsidR="0011019E" w:rsidRPr="00D21D8C">
        <w:rPr>
          <w:rFonts w:asciiTheme="majorBidi" w:hAnsiTheme="majorBidi" w:cstheme="majorBidi"/>
          <w:b/>
          <w:bCs/>
          <w:color w:val="000000"/>
          <w:szCs w:val="22"/>
          <w:u w:color="FFFFFF"/>
        </w:rPr>
        <w:instrText xml:space="preserve"> DOCVARIABLE vault_nd_2acde9d1-a036-4678-8949-110858edba03 \* MERGEFORMAT </w:instrText>
      </w:r>
      <w:r w:rsidR="0011019E" w:rsidRPr="00D21D8C">
        <w:rPr>
          <w:rFonts w:asciiTheme="majorBidi" w:hAnsiTheme="majorBidi" w:cstheme="majorBidi"/>
          <w:b/>
          <w:bCs/>
          <w:color w:val="000000"/>
          <w:szCs w:val="22"/>
          <w:u w:color="FFFFFF"/>
        </w:rPr>
        <w:fldChar w:fldCharType="separate"/>
      </w:r>
      <w:r w:rsidR="0011019E" w:rsidRPr="00D21D8C">
        <w:rPr>
          <w:rFonts w:asciiTheme="majorBidi" w:hAnsiTheme="majorBidi" w:cstheme="majorBidi"/>
          <w:b/>
          <w:bCs/>
          <w:color w:val="000000"/>
          <w:szCs w:val="22"/>
          <w:u w:color="FFFFFF"/>
        </w:rPr>
        <w:t xml:space="preserve"> </w:t>
      </w:r>
      <w:r w:rsidR="0011019E" w:rsidRPr="00D21D8C">
        <w:rPr>
          <w:rFonts w:asciiTheme="majorBidi" w:hAnsiTheme="majorBidi" w:cstheme="majorBidi"/>
          <w:b/>
          <w:bCs/>
          <w:color w:val="000000"/>
          <w:szCs w:val="22"/>
          <w:u w:color="FFFFFF"/>
        </w:rPr>
        <w:fldChar w:fldCharType="end"/>
      </w:r>
    </w:p>
    <w:p w14:paraId="4C193E88" w14:textId="77777777" w:rsidR="001A274F" w:rsidRPr="00D21D8C" w:rsidRDefault="001A274F">
      <w:pPr>
        <w:keepNext/>
        <w:spacing w:line="240" w:lineRule="auto"/>
        <w:rPr>
          <w:rFonts w:asciiTheme="majorBidi" w:hAnsiTheme="majorBidi" w:cstheme="majorBidi"/>
          <w:szCs w:val="22"/>
        </w:rPr>
      </w:pPr>
    </w:p>
    <w:p w14:paraId="7F80CAAF" w14:textId="75976B9C" w:rsidR="001A274F" w:rsidRPr="00D21D8C" w:rsidRDefault="00DA418A">
      <w:pPr>
        <w:keepNext/>
        <w:tabs>
          <w:tab w:val="clear" w:pos="567"/>
        </w:tabs>
        <w:spacing w:line="240" w:lineRule="auto"/>
        <w:rPr>
          <w:rFonts w:asciiTheme="majorBidi" w:eastAsia="SimSun" w:hAnsiTheme="majorBidi" w:cstheme="majorBidi"/>
          <w:szCs w:val="22"/>
          <w:lang w:eastAsia="en-GB"/>
        </w:rPr>
      </w:pPr>
      <w:r w:rsidRPr="00D21D8C">
        <w:rPr>
          <w:rFonts w:asciiTheme="majorBidi" w:hAnsiTheme="majorBidi" w:cstheme="majorBidi"/>
          <w:color w:val="000000"/>
          <w:szCs w:val="22"/>
          <w:u w:color="FFFFFF"/>
          <w:lang w:eastAsia="en-GB"/>
        </w:rPr>
        <w:t xml:space="preserve">Er werd geen maximaal verdraagbare dosis </w:t>
      </w:r>
      <w:r w:rsidR="00D8424D" w:rsidRPr="00D21D8C">
        <w:rPr>
          <w:rFonts w:asciiTheme="majorBidi" w:hAnsiTheme="majorBidi" w:cstheme="majorBidi"/>
          <w:color w:val="000000"/>
          <w:szCs w:val="22"/>
          <w:u w:color="FFFFFF"/>
          <w:lang w:eastAsia="en-GB"/>
        </w:rPr>
        <w:t xml:space="preserve">bereikt </w:t>
      </w:r>
      <w:r w:rsidRPr="00D21D8C">
        <w:rPr>
          <w:rFonts w:asciiTheme="majorBidi" w:hAnsiTheme="majorBidi" w:cstheme="majorBidi"/>
          <w:color w:val="000000"/>
          <w:szCs w:val="22"/>
          <w:u w:color="FFFFFF"/>
          <w:lang w:eastAsia="en-GB"/>
        </w:rPr>
        <w:t>in het fase</w:t>
      </w:r>
      <w:r w:rsidR="00247203" w:rsidRPr="00D21D8C">
        <w:rPr>
          <w:rFonts w:asciiTheme="majorBidi" w:hAnsiTheme="majorBidi" w:cstheme="majorBidi"/>
          <w:color w:val="000000"/>
          <w:szCs w:val="22"/>
          <w:u w:color="FFFFFF"/>
          <w:lang w:eastAsia="en-GB"/>
        </w:rPr>
        <w:t> </w:t>
      </w:r>
      <w:r w:rsidRPr="00D21D8C">
        <w:rPr>
          <w:rFonts w:asciiTheme="majorBidi" w:hAnsiTheme="majorBidi" w:cstheme="majorBidi"/>
          <w:color w:val="000000"/>
          <w:szCs w:val="22"/>
          <w:u w:color="FFFFFF"/>
          <w:lang w:eastAsia="en-GB"/>
        </w:rPr>
        <w:t xml:space="preserve">1-onderzoek </w:t>
      </w:r>
      <w:r w:rsidR="00D8424D" w:rsidRPr="00D21D8C">
        <w:rPr>
          <w:rFonts w:asciiTheme="majorBidi" w:hAnsiTheme="majorBidi" w:cstheme="majorBidi"/>
          <w:color w:val="000000"/>
          <w:szCs w:val="22"/>
          <w:u w:color="FFFFFF"/>
          <w:lang w:eastAsia="en-GB"/>
        </w:rPr>
        <w:t xml:space="preserve">waarin </w:t>
      </w:r>
      <w:r w:rsidRPr="00D21D8C">
        <w:rPr>
          <w:rFonts w:asciiTheme="majorBidi" w:hAnsiTheme="majorBidi" w:cstheme="majorBidi"/>
          <w:color w:val="000000"/>
          <w:szCs w:val="22"/>
          <w:u w:color="FFFFFF"/>
          <w:lang w:eastAsia="en-GB"/>
        </w:rPr>
        <w:t>patiënten herhaalde doses tot 300</w:t>
      </w:r>
      <w:r w:rsidR="00247203" w:rsidRPr="00D21D8C">
        <w:rPr>
          <w:rFonts w:asciiTheme="majorBidi" w:hAnsiTheme="majorBidi" w:cstheme="majorBidi"/>
          <w:color w:val="000000"/>
          <w:szCs w:val="22"/>
          <w:u w:color="FFFFFF"/>
          <w:lang w:eastAsia="en-GB"/>
        </w:rPr>
        <w:t> </w:t>
      </w:r>
      <w:r w:rsidRPr="00D21D8C">
        <w:rPr>
          <w:rFonts w:asciiTheme="majorBidi" w:hAnsiTheme="majorBidi" w:cstheme="majorBidi"/>
          <w:color w:val="000000"/>
          <w:szCs w:val="22"/>
          <w:u w:color="FFFFFF"/>
          <w:lang w:eastAsia="en-GB"/>
        </w:rPr>
        <w:t xml:space="preserve">mg eenmaal daags </w:t>
      </w:r>
      <w:r w:rsidR="00D8424D" w:rsidRPr="00D21D8C">
        <w:rPr>
          <w:rFonts w:asciiTheme="majorBidi" w:hAnsiTheme="majorBidi" w:cstheme="majorBidi"/>
          <w:color w:val="000000"/>
          <w:szCs w:val="22"/>
          <w:u w:color="FFFFFF"/>
          <w:lang w:eastAsia="en-GB"/>
        </w:rPr>
        <w:t>kregen</w:t>
      </w:r>
      <w:r w:rsidRPr="00D21D8C">
        <w:rPr>
          <w:rFonts w:asciiTheme="majorBidi" w:hAnsiTheme="majorBidi" w:cstheme="majorBidi"/>
          <w:color w:val="000000"/>
          <w:szCs w:val="22"/>
          <w:u w:color="FFFFFF"/>
          <w:lang w:eastAsia="en-GB"/>
        </w:rPr>
        <w:t xml:space="preserve">. In onderzoeken met gezonde vrijwilligers werd geen dosisgerelateerde toxiciteit waargenomen wanneer een maximale enkelvoudige dosis van 900 mg werd toegediend. </w:t>
      </w:r>
      <w:r w:rsidR="00620A58" w:rsidRPr="00D21D8C">
        <w:rPr>
          <w:rFonts w:asciiTheme="majorBidi" w:hAnsiTheme="majorBidi" w:cstheme="majorBidi"/>
          <w:color w:val="000000"/>
          <w:szCs w:val="22"/>
          <w:u w:color="FFFFFF"/>
          <w:lang w:eastAsia="en-GB"/>
        </w:rPr>
        <w:t xml:space="preserve">Klachten </w:t>
      </w:r>
      <w:r w:rsidRPr="00D21D8C">
        <w:rPr>
          <w:rFonts w:asciiTheme="majorBidi" w:hAnsiTheme="majorBidi" w:cstheme="majorBidi"/>
          <w:color w:val="000000"/>
          <w:szCs w:val="22"/>
          <w:u w:color="FFFFFF"/>
          <w:lang w:eastAsia="en-GB"/>
        </w:rPr>
        <w:t xml:space="preserve">en symptomen van </w:t>
      </w:r>
      <w:r w:rsidR="00D8424D" w:rsidRPr="00D21D8C">
        <w:rPr>
          <w:rFonts w:asciiTheme="majorBidi" w:hAnsiTheme="majorBidi" w:cstheme="majorBidi"/>
          <w:color w:val="000000"/>
          <w:szCs w:val="22"/>
          <w:u w:color="FFFFFF"/>
          <w:lang w:eastAsia="en-GB"/>
        </w:rPr>
        <w:t xml:space="preserve">een overdosis </w:t>
      </w:r>
      <w:r w:rsidRPr="00D21D8C">
        <w:rPr>
          <w:rFonts w:asciiTheme="majorBidi" w:hAnsiTheme="majorBidi" w:cstheme="majorBidi"/>
          <w:color w:val="000000"/>
          <w:szCs w:val="22"/>
          <w:u w:color="FFFFFF"/>
          <w:lang w:eastAsia="en-GB"/>
        </w:rPr>
        <w:t xml:space="preserve">met pirtobrutinib zijn niet vastgesteld en er is geen specifieke behandeling voor </w:t>
      </w:r>
      <w:r w:rsidR="00D8424D" w:rsidRPr="00D21D8C">
        <w:rPr>
          <w:rFonts w:asciiTheme="majorBidi" w:hAnsiTheme="majorBidi" w:cstheme="majorBidi"/>
          <w:color w:val="000000"/>
          <w:szCs w:val="22"/>
          <w:u w:color="FFFFFF"/>
          <w:lang w:eastAsia="en-GB"/>
        </w:rPr>
        <w:t xml:space="preserve">een overdosis </w:t>
      </w:r>
      <w:r w:rsidRPr="00D21D8C">
        <w:rPr>
          <w:rFonts w:asciiTheme="majorBidi" w:hAnsiTheme="majorBidi" w:cstheme="majorBidi"/>
          <w:color w:val="000000"/>
          <w:szCs w:val="22"/>
          <w:u w:color="FFFFFF"/>
          <w:lang w:eastAsia="en-GB"/>
        </w:rPr>
        <w:t xml:space="preserve">met pirtobrutinib. </w:t>
      </w:r>
    </w:p>
    <w:p w14:paraId="0AEC8F44" w14:textId="5430B1D7" w:rsidR="001A274F" w:rsidRPr="00D21D8C" w:rsidRDefault="00DA418A">
      <w:pPr>
        <w:keepNext/>
        <w:tabs>
          <w:tab w:val="clear" w:pos="567"/>
        </w:tabs>
        <w:spacing w:line="240" w:lineRule="auto"/>
        <w:rPr>
          <w:rFonts w:asciiTheme="majorBidi" w:hAnsiTheme="majorBidi" w:cstheme="majorBidi"/>
          <w:szCs w:val="22"/>
        </w:rPr>
      </w:pPr>
      <w:r w:rsidRPr="00D21D8C">
        <w:rPr>
          <w:rFonts w:asciiTheme="majorBidi" w:hAnsiTheme="majorBidi" w:cstheme="majorBidi"/>
          <w:color w:val="000000"/>
          <w:szCs w:val="22"/>
          <w:u w:color="FFFFFF"/>
          <w:lang w:eastAsia="en-GB"/>
        </w:rPr>
        <w:t xml:space="preserve">Patiënten </w:t>
      </w:r>
      <w:r w:rsidR="00D8424D" w:rsidRPr="00D21D8C">
        <w:rPr>
          <w:rFonts w:asciiTheme="majorBidi" w:hAnsiTheme="majorBidi" w:cstheme="majorBidi"/>
          <w:color w:val="000000"/>
          <w:szCs w:val="22"/>
          <w:u w:color="FFFFFF"/>
          <w:lang w:eastAsia="en-GB"/>
        </w:rPr>
        <w:t xml:space="preserve">die </w:t>
      </w:r>
      <w:r w:rsidRPr="00D21D8C">
        <w:rPr>
          <w:rFonts w:asciiTheme="majorBidi" w:hAnsiTheme="majorBidi" w:cstheme="majorBidi"/>
          <w:color w:val="000000"/>
          <w:szCs w:val="22"/>
          <w:u w:color="FFFFFF"/>
          <w:lang w:eastAsia="en-GB"/>
        </w:rPr>
        <w:t>een overdos</w:t>
      </w:r>
      <w:r w:rsidR="00D8424D" w:rsidRPr="00D21D8C">
        <w:rPr>
          <w:rFonts w:asciiTheme="majorBidi" w:hAnsiTheme="majorBidi" w:cstheme="majorBidi"/>
          <w:color w:val="000000"/>
          <w:szCs w:val="22"/>
          <w:u w:color="FFFFFF"/>
          <w:lang w:eastAsia="en-GB"/>
        </w:rPr>
        <w:t>is ervaren,</w:t>
      </w:r>
      <w:r w:rsidRPr="00D21D8C">
        <w:rPr>
          <w:rFonts w:asciiTheme="majorBidi" w:hAnsiTheme="majorBidi" w:cstheme="majorBidi"/>
          <w:color w:val="000000"/>
          <w:szCs w:val="22"/>
          <w:u w:color="FFFFFF"/>
          <w:lang w:eastAsia="en-GB"/>
        </w:rPr>
        <w:t xml:space="preserve"> moeten nauwlettend worden gecontroleerd en</w:t>
      </w:r>
      <w:r w:rsidR="00D8424D" w:rsidRPr="00D21D8C">
        <w:rPr>
          <w:rFonts w:asciiTheme="majorBidi" w:hAnsiTheme="majorBidi" w:cstheme="majorBidi"/>
          <w:color w:val="000000"/>
          <w:szCs w:val="22"/>
          <w:u w:color="FFFFFF"/>
          <w:lang w:eastAsia="en-GB"/>
        </w:rPr>
        <w:t xml:space="preserve"> moet</w:t>
      </w:r>
      <w:r w:rsidR="00335981" w:rsidRPr="00D21D8C">
        <w:rPr>
          <w:rFonts w:asciiTheme="majorBidi" w:hAnsiTheme="majorBidi" w:cstheme="majorBidi"/>
          <w:color w:val="000000"/>
          <w:szCs w:val="22"/>
          <w:u w:color="FFFFFF"/>
          <w:lang w:eastAsia="en-GB"/>
        </w:rPr>
        <w:t>en</w:t>
      </w:r>
      <w:r w:rsidRPr="00D21D8C">
        <w:rPr>
          <w:rFonts w:asciiTheme="majorBidi" w:hAnsiTheme="majorBidi" w:cstheme="majorBidi"/>
          <w:color w:val="000000"/>
          <w:szCs w:val="22"/>
          <w:u w:color="FFFFFF"/>
          <w:lang w:eastAsia="en-GB"/>
        </w:rPr>
        <w:t xml:space="preserve"> een passende ondersteunende behandeling krijgen. </w:t>
      </w:r>
    </w:p>
    <w:p w14:paraId="3040E890" w14:textId="77777777" w:rsidR="001A274F" w:rsidRPr="00D21D8C" w:rsidRDefault="001A274F">
      <w:pPr>
        <w:spacing w:line="240" w:lineRule="auto"/>
        <w:rPr>
          <w:szCs w:val="22"/>
        </w:rPr>
      </w:pPr>
    </w:p>
    <w:p w14:paraId="4526B361" w14:textId="77777777" w:rsidR="001A274F" w:rsidRPr="00D21D8C" w:rsidRDefault="001A274F">
      <w:pPr>
        <w:keepNext/>
        <w:spacing w:line="240" w:lineRule="auto"/>
        <w:rPr>
          <w:rFonts w:asciiTheme="majorBidi" w:hAnsiTheme="majorBidi" w:cstheme="majorBidi"/>
          <w:szCs w:val="22"/>
        </w:rPr>
      </w:pPr>
    </w:p>
    <w:p w14:paraId="78BC6C9F" w14:textId="77777777"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b/>
          <w:bCs/>
          <w:color w:val="000000"/>
          <w:szCs w:val="22"/>
          <w:u w:color="FFFFFF"/>
        </w:rPr>
        <w:t>5.</w:t>
      </w:r>
      <w:r w:rsidRPr="00D21D8C">
        <w:rPr>
          <w:rFonts w:asciiTheme="majorBidi" w:hAnsiTheme="majorBidi" w:cstheme="majorBidi"/>
          <w:b/>
          <w:bCs/>
          <w:color w:val="000000"/>
          <w:szCs w:val="22"/>
          <w:u w:color="FFFFFF"/>
        </w:rPr>
        <w:tab/>
        <w:t>FARMACOLOGISCHE EIGENSCHAPPEN</w:t>
      </w:r>
    </w:p>
    <w:p w14:paraId="6FA00E8A" w14:textId="77777777" w:rsidR="001A274F" w:rsidRPr="00D21D8C" w:rsidRDefault="001A274F">
      <w:pPr>
        <w:keepNext/>
        <w:spacing w:line="240" w:lineRule="auto"/>
        <w:rPr>
          <w:rFonts w:asciiTheme="majorBidi" w:hAnsiTheme="majorBidi" w:cstheme="majorBidi"/>
          <w:szCs w:val="22"/>
        </w:rPr>
      </w:pPr>
    </w:p>
    <w:p w14:paraId="6A5AAADB" w14:textId="5E6A0841" w:rsidR="001A274F" w:rsidRPr="00D21D8C" w:rsidRDefault="00DA418A">
      <w:pPr>
        <w:keepNext/>
        <w:spacing w:line="240" w:lineRule="auto"/>
        <w:ind w:left="567" w:hanging="567"/>
        <w:outlineLvl w:val="0"/>
        <w:rPr>
          <w:rFonts w:asciiTheme="majorBidi" w:hAnsiTheme="majorBidi" w:cstheme="majorBidi"/>
          <w:szCs w:val="22"/>
        </w:rPr>
      </w:pPr>
      <w:r w:rsidRPr="00D21D8C">
        <w:rPr>
          <w:rFonts w:asciiTheme="majorBidi" w:hAnsiTheme="majorBidi" w:cstheme="majorBidi"/>
          <w:b/>
          <w:bCs/>
          <w:color w:val="000000"/>
          <w:szCs w:val="22"/>
          <w:u w:color="FFFFFF"/>
        </w:rPr>
        <w:t xml:space="preserve">5.1 </w:t>
      </w:r>
      <w:r w:rsidRPr="00D21D8C">
        <w:rPr>
          <w:rFonts w:asciiTheme="majorBidi" w:hAnsiTheme="majorBidi" w:cstheme="majorBidi"/>
          <w:b/>
          <w:bCs/>
          <w:color w:val="000000"/>
          <w:szCs w:val="22"/>
          <w:u w:color="FFFFFF"/>
        </w:rPr>
        <w:tab/>
        <w:t>Farmacodynamische eigenschappen</w:t>
      </w:r>
      <w:r w:rsidR="0011019E" w:rsidRPr="00D21D8C">
        <w:rPr>
          <w:rFonts w:asciiTheme="majorBidi" w:hAnsiTheme="majorBidi" w:cstheme="majorBidi"/>
          <w:b/>
          <w:bCs/>
          <w:color w:val="000000"/>
          <w:szCs w:val="22"/>
          <w:u w:color="FFFFFF"/>
        </w:rPr>
        <w:fldChar w:fldCharType="begin"/>
      </w:r>
      <w:r w:rsidR="0011019E" w:rsidRPr="00D21D8C">
        <w:rPr>
          <w:rFonts w:asciiTheme="majorBidi" w:hAnsiTheme="majorBidi" w:cstheme="majorBidi"/>
          <w:b/>
          <w:bCs/>
          <w:color w:val="000000"/>
          <w:szCs w:val="22"/>
          <w:u w:color="FFFFFF"/>
        </w:rPr>
        <w:instrText xml:space="preserve"> DOCVARIABLE vault_nd_efde83ed-4c50-4b79-81d3-29f8f00cf94f \* MERGEFORMAT </w:instrText>
      </w:r>
      <w:r w:rsidR="0011019E" w:rsidRPr="00D21D8C">
        <w:rPr>
          <w:rFonts w:asciiTheme="majorBidi" w:hAnsiTheme="majorBidi" w:cstheme="majorBidi"/>
          <w:b/>
          <w:bCs/>
          <w:color w:val="000000"/>
          <w:szCs w:val="22"/>
          <w:u w:color="FFFFFF"/>
        </w:rPr>
        <w:fldChar w:fldCharType="separate"/>
      </w:r>
      <w:r w:rsidR="0011019E" w:rsidRPr="00D21D8C">
        <w:rPr>
          <w:rFonts w:asciiTheme="majorBidi" w:hAnsiTheme="majorBidi" w:cstheme="majorBidi"/>
          <w:b/>
          <w:bCs/>
          <w:color w:val="000000"/>
          <w:szCs w:val="22"/>
          <w:u w:color="FFFFFF"/>
        </w:rPr>
        <w:t xml:space="preserve"> </w:t>
      </w:r>
      <w:r w:rsidR="0011019E" w:rsidRPr="00D21D8C">
        <w:rPr>
          <w:rFonts w:asciiTheme="majorBidi" w:hAnsiTheme="majorBidi" w:cstheme="majorBidi"/>
          <w:b/>
          <w:bCs/>
          <w:color w:val="000000"/>
          <w:szCs w:val="22"/>
          <w:u w:color="FFFFFF"/>
        </w:rPr>
        <w:fldChar w:fldCharType="end"/>
      </w:r>
    </w:p>
    <w:p w14:paraId="335994F6" w14:textId="77777777" w:rsidR="001A274F" w:rsidRPr="00D21D8C" w:rsidRDefault="001A274F">
      <w:pPr>
        <w:keepNext/>
        <w:spacing w:line="240" w:lineRule="auto"/>
        <w:rPr>
          <w:rFonts w:asciiTheme="majorBidi" w:hAnsiTheme="majorBidi" w:cstheme="majorBidi"/>
          <w:szCs w:val="22"/>
        </w:rPr>
      </w:pPr>
    </w:p>
    <w:p w14:paraId="0EB46F72" w14:textId="4A6191C3" w:rsidR="001A274F" w:rsidRPr="00D21D8C" w:rsidRDefault="00DA418A">
      <w:pPr>
        <w:keepNext/>
        <w:spacing w:line="240" w:lineRule="auto"/>
        <w:outlineLvl w:val="0"/>
        <w:rPr>
          <w:rFonts w:asciiTheme="majorBidi" w:hAnsiTheme="majorBidi" w:cstheme="majorBidi"/>
          <w:szCs w:val="22"/>
        </w:rPr>
      </w:pPr>
      <w:r w:rsidRPr="00D21D8C">
        <w:rPr>
          <w:rFonts w:asciiTheme="majorBidi" w:hAnsiTheme="majorBidi" w:cstheme="majorBidi"/>
          <w:color w:val="000000"/>
          <w:szCs w:val="22"/>
          <w:u w:color="FFFFFF"/>
        </w:rPr>
        <w:t>Farmacotherapeutische categorie: Antineoplastische middelen, proteïnekinaseremmers, ATC-code:</w:t>
      </w:r>
      <w:r w:rsidR="00E56D24" w:rsidRPr="00D21D8C">
        <w:t xml:space="preserve"> </w:t>
      </w:r>
      <w:r w:rsidR="00E56D24" w:rsidRPr="00D21D8C">
        <w:rPr>
          <w:rFonts w:asciiTheme="majorBidi" w:hAnsiTheme="majorBidi" w:cstheme="majorBidi"/>
          <w:color w:val="000000"/>
          <w:szCs w:val="22"/>
          <w:u w:color="FFFFFF"/>
        </w:rPr>
        <w:t xml:space="preserve">L01EL05 </w:t>
      </w:r>
    </w:p>
    <w:p w14:paraId="3B24263B" w14:textId="77777777" w:rsidR="001A274F" w:rsidRPr="00D21D8C" w:rsidRDefault="001A274F">
      <w:pPr>
        <w:spacing w:line="240" w:lineRule="auto"/>
        <w:rPr>
          <w:rFonts w:asciiTheme="majorBidi" w:hAnsiTheme="majorBidi" w:cstheme="majorBidi"/>
          <w:b/>
          <w:szCs w:val="22"/>
        </w:rPr>
      </w:pPr>
    </w:p>
    <w:p w14:paraId="74DB79A6" w14:textId="77777777"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val="single" w:color="000000"/>
        </w:rPr>
        <w:t>Werkingsmechanisme</w:t>
      </w:r>
    </w:p>
    <w:p w14:paraId="22D6DBCE" w14:textId="77777777" w:rsidR="001A274F" w:rsidRPr="00D21D8C" w:rsidRDefault="001A274F">
      <w:pPr>
        <w:keepNext/>
        <w:spacing w:line="240" w:lineRule="auto"/>
        <w:rPr>
          <w:rFonts w:asciiTheme="majorBidi" w:hAnsiTheme="majorBidi" w:cstheme="majorBidi"/>
          <w:szCs w:val="22"/>
        </w:rPr>
      </w:pPr>
    </w:p>
    <w:p w14:paraId="27BB231D" w14:textId="4D0842B9"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color="FFFFFF"/>
        </w:rPr>
        <w:t xml:space="preserve">Pirtobrutinib is een </w:t>
      </w:r>
      <w:r w:rsidR="00974E23" w:rsidRPr="00D21D8C">
        <w:rPr>
          <w:rFonts w:asciiTheme="majorBidi" w:hAnsiTheme="majorBidi" w:cstheme="majorBidi"/>
          <w:color w:val="000000"/>
          <w:szCs w:val="22"/>
          <w:u w:color="FFFFFF"/>
        </w:rPr>
        <w:t>reversibel</w:t>
      </w:r>
      <w:r w:rsidRPr="00D21D8C">
        <w:rPr>
          <w:rFonts w:asciiTheme="majorBidi" w:hAnsiTheme="majorBidi" w:cstheme="majorBidi"/>
          <w:color w:val="000000"/>
          <w:szCs w:val="22"/>
          <w:u w:color="FFFFFF"/>
        </w:rPr>
        <w:t xml:space="preserve">, niet-covalente remmer van BTK. BTK is een </w:t>
      </w:r>
      <w:r w:rsidR="006213E1" w:rsidRPr="00D21D8C">
        <w:rPr>
          <w:rFonts w:asciiTheme="majorBidi" w:hAnsiTheme="majorBidi" w:cstheme="majorBidi"/>
          <w:color w:val="000000"/>
          <w:szCs w:val="22"/>
          <w:u w:color="FFFFFF"/>
        </w:rPr>
        <w:t xml:space="preserve">signaaleiwit </w:t>
      </w:r>
      <w:r w:rsidRPr="00D21D8C">
        <w:rPr>
          <w:rFonts w:asciiTheme="majorBidi" w:hAnsiTheme="majorBidi" w:cstheme="majorBidi"/>
          <w:color w:val="000000"/>
          <w:szCs w:val="22"/>
          <w:u w:color="FFFFFF"/>
        </w:rPr>
        <w:t>van de B-cel-antigeenreceptor (BCR) en cytokinereceptorroutes. In B</w:t>
      </w:r>
      <w:r w:rsidRPr="00D21D8C">
        <w:rPr>
          <w:rFonts w:asciiTheme="majorBidi" w:hAnsiTheme="majorBidi" w:cstheme="majorBidi"/>
          <w:color w:val="000000"/>
          <w:szCs w:val="22"/>
          <w:u w:color="FFFFFF"/>
        </w:rPr>
        <w:noBreakHyphen/>
        <w:t xml:space="preserve">cellen leidt BTK-signalering tot activering van routes die nodig zijn voor proliferatie, </w:t>
      </w:r>
      <w:r w:rsidR="009B765A" w:rsidRPr="00D21D8C">
        <w:rPr>
          <w:rFonts w:asciiTheme="majorBidi" w:hAnsiTheme="majorBidi" w:cstheme="majorBidi"/>
          <w:color w:val="000000"/>
          <w:szCs w:val="22"/>
          <w:u w:color="FFFFFF"/>
        </w:rPr>
        <w:t>transport</w:t>
      </w:r>
      <w:r w:rsidRPr="00D21D8C">
        <w:rPr>
          <w:rFonts w:asciiTheme="majorBidi" w:hAnsiTheme="majorBidi" w:cstheme="majorBidi"/>
          <w:color w:val="000000"/>
          <w:szCs w:val="22"/>
          <w:u w:color="FFFFFF"/>
        </w:rPr>
        <w:t>, chemotaxis en hechting van B-cellen. Pirtobrutinib bindt zich aan wildtype</w:t>
      </w:r>
      <w:r w:rsidR="00460655" w:rsidRPr="00D21D8C">
        <w:rPr>
          <w:rFonts w:asciiTheme="majorBidi" w:hAnsiTheme="majorBidi" w:cstheme="majorBidi"/>
          <w:color w:val="000000"/>
          <w:szCs w:val="22"/>
          <w:u w:color="FFFFFF"/>
        </w:rPr>
        <w:t>-</w:t>
      </w:r>
      <w:r w:rsidRPr="00D21D8C">
        <w:rPr>
          <w:rFonts w:asciiTheme="majorBidi" w:hAnsiTheme="majorBidi" w:cstheme="majorBidi"/>
          <w:color w:val="000000"/>
          <w:szCs w:val="22"/>
          <w:u w:color="FFFFFF"/>
        </w:rPr>
        <w:t xml:space="preserve">BTK evenals aan BTK met C481-mutaties, </w:t>
      </w:r>
      <w:r w:rsidR="002A473B" w:rsidRPr="00D21D8C">
        <w:rPr>
          <w:rFonts w:asciiTheme="majorBidi" w:hAnsiTheme="majorBidi" w:cstheme="majorBidi"/>
          <w:color w:val="000000"/>
          <w:szCs w:val="22"/>
          <w:u w:color="FFFFFF"/>
        </w:rPr>
        <w:t xml:space="preserve">wat </w:t>
      </w:r>
      <w:r w:rsidRPr="00D21D8C">
        <w:rPr>
          <w:rFonts w:asciiTheme="majorBidi" w:hAnsiTheme="majorBidi" w:cstheme="majorBidi"/>
          <w:color w:val="000000"/>
          <w:szCs w:val="22"/>
          <w:u w:color="FFFFFF"/>
        </w:rPr>
        <w:t xml:space="preserve">leidt tot remming van </w:t>
      </w:r>
      <w:r w:rsidR="002A473B" w:rsidRPr="00D21D8C">
        <w:rPr>
          <w:rFonts w:asciiTheme="majorBidi" w:hAnsiTheme="majorBidi" w:cstheme="majorBidi"/>
          <w:color w:val="000000"/>
          <w:szCs w:val="22"/>
          <w:u w:color="FFFFFF"/>
        </w:rPr>
        <w:t xml:space="preserve">de </w:t>
      </w:r>
      <w:r w:rsidRPr="00D21D8C">
        <w:rPr>
          <w:rFonts w:asciiTheme="majorBidi" w:hAnsiTheme="majorBidi" w:cstheme="majorBidi"/>
          <w:color w:val="000000"/>
          <w:szCs w:val="22"/>
          <w:u w:color="FFFFFF"/>
        </w:rPr>
        <w:t>BTK</w:t>
      </w:r>
      <w:r w:rsidR="002A473B" w:rsidRPr="00D21D8C">
        <w:rPr>
          <w:rFonts w:asciiTheme="majorBidi" w:hAnsiTheme="majorBidi" w:cstheme="majorBidi"/>
          <w:color w:val="000000"/>
          <w:szCs w:val="22"/>
          <w:u w:color="FFFFFF"/>
        </w:rPr>
        <w:t>-</w:t>
      </w:r>
      <w:r w:rsidRPr="00D21D8C">
        <w:rPr>
          <w:rFonts w:asciiTheme="majorBidi" w:hAnsiTheme="majorBidi" w:cstheme="majorBidi"/>
          <w:color w:val="000000"/>
          <w:szCs w:val="22"/>
          <w:u w:color="FFFFFF"/>
        </w:rPr>
        <w:t xml:space="preserve">kinase-activiteit. </w:t>
      </w:r>
    </w:p>
    <w:p w14:paraId="513EC8A1" w14:textId="77777777" w:rsidR="001A274F" w:rsidRPr="00D21D8C" w:rsidRDefault="001A274F">
      <w:pPr>
        <w:spacing w:line="240" w:lineRule="auto"/>
        <w:rPr>
          <w:rFonts w:asciiTheme="majorBidi" w:hAnsiTheme="majorBidi" w:cstheme="majorBidi"/>
          <w:szCs w:val="22"/>
        </w:rPr>
      </w:pPr>
    </w:p>
    <w:p w14:paraId="70A3B20F" w14:textId="77777777"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val="single" w:color="000000"/>
        </w:rPr>
        <w:t>Farmacodynamische effecten</w:t>
      </w:r>
    </w:p>
    <w:p w14:paraId="52F2E707" w14:textId="77777777" w:rsidR="001A274F" w:rsidRPr="00D21D8C" w:rsidRDefault="001A274F">
      <w:pPr>
        <w:keepNext/>
        <w:spacing w:line="240" w:lineRule="auto"/>
        <w:rPr>
          <w:rFonts w:asciiTheme="majorBidi" w:hAnsiTheme="majorBidi" w:cstheme="majorBidi"/>
          <w:szCs w:val="22"/>
        </w:rPr>
      </w:pPr>
    </w:p>
    <w:p w14:paraId="4B95E1DE" w14:textId="77777777" w:rsidR="001A274F" w:rsidRPr="00D21D8C" w:rsidRDefault="00DA418A">
      <w:pPr>
        <w:keepNext/>
        <w:spacing w:line="240" w:lineRule="auto"/>
        <w:rPr>
          <w:rFonts w:asciiTheme="majorBidi" w:hAnsiTheme="majorBidi" w:cstheme="majorBidi"/>
          <w:i/>
          <w:szCs w:val="22"/>
        </w:rPr>
      </w:pPr>
      <w:r w:rsidRPr="00D21D8C">
        <w:rPr>
          <w:rFonts w:asciiTheme="majorBidi" w:hAnsiTheme="majorBidi" w:cstheme="majorBidi"/>
          <w:i/>
          <w:iCs/>
          <w:color w:val="000000"/>
          <w:szCs w:val="22"/>
          <w:u w:color="FFFFFF"/>
        </w:rPr>
        <w:t>Cardiale elektrofysiologie</w:t>
      </w:r>
    </w:p>
    <w:p w14:paraId="5006D1D2" w14:textId="50F48135"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color="FFFFFF"/>
        </w:rPr>
        <w:t xml:space="preserve">Het effect van </w:t>
      </w:r>
      <w:r w:rsidR="002A473B" w:rsidRPr="00D21D8C">
        <w:rPr>
          <w:rFonts w:asciiTheme="majorBidi" w:hAnsiTheme="majorBidi" w:cstheme="majorBidi"/>
          <w:color w:val="000000"/>
          <w:szCs w:val="22"/>
          <w:u w:color="FFFFFF"/>
        </w:rPr>
        <w:t xml:space="preserve">een enkelvoudige </w:t>
      </w:r>
      <w:r w:rsidRPr="00D21D8C">
        <w:rPr>
          <w:rFonts w:asciiTheme="majorBidi" w:hAnsiTheme="majorBidi" w:cstheme="majorBidi"/>
          <w:color w:val="000000"/>
          <w:szCs w:val="22"/>
          <w:u w:color="FFFFFF"/>
        </w:rPr>
        <w:t xml:space="preserve">dosis </w:t>
      </w:r>
      <w:r w:rsidR="002A473B" w:rsidRPr="00D21D8C">
        <w:rPr>
          <w:rFonts w:asciiTheme="majorBidi" w:hAnsiTheme="majorBidi" w:cstheme="majorBidi"/>
          <w:color w:val="000000"/>
          <w:szCs w:val="22"/>
          <w:u w:color="FFFFFF"/>
        </w:rPr>
        <w:t xml:space="preserve">van 900 mg </w:t>
      </w:r>
      <w:r w:rsidRPr="00D21D8C">
        <w:rPr>
          <w:rFonts w:asciiTheme="majorBidi" w:hAnsiTheme="majorBidi" w:cstheme="majorBidi"/>
          <w:color w:val="000000"/>
          <w:szCs w:val="22"/>
          <w:u w:color="FFFFFF"/>
        </w:rPr>
        <w:t>pirtobrutinib op het gecorrigeerde QT</w:t>
      </w:r>
      <w:r w:rsidR="00620A58" w:rsidRPr="00D21D8C">
        <w:rPr>
          <w:rFonts w:asciiTheme="majorBidi" w:hAnsiTheme="majorBidi" w:cstheme="majorBidi"/>
          <w:color w:val="000000"/>
          <w:szCs w:val="22"/>
          <w:u w:color="FFFFFF"/>
        </w:rPr>
        <w:t>-interval</w:t>
      </w:r>
      <w:r w:rsidRPr="00D21D8C">
        <w:rPr>
          <w:rFonts w:asciiTheme="majorBidi" w:hAnsiTheme="majorBidi" w:cstheme="majorBidi"/>
          <w:color w:val="000000"/>
          <w:szCs w:val="22"/>
          <w:u w:color="FFFFFF"/>
        </w:rPr>
        <w:t xml:space="preserve"> (QTc</w:t>
      </w:r>
      <w:r w:rsidR="00620A58" w:rsidRPr="00D21D8C">
        <w:rPr>
          <w:rFonts w:asciiTheme="majorBidi" w:hAnsiTheme="majorBidi" w:cstheme="majorBidi"/>
          <w:color w:val="000000"/>
          <w:szCs w:val="22"/>
          <w:u w:color="FFFFFF"/>
        </w:rPr>
        <w:t>-</w:t>
      </w:r>
      <w:r w:rsidRPr="00D21D8C">
        <w:rPr>
          <w:rFonts w:asciiTheme="majorBidi" w:hAnsiTheme="majorBidi" w:cstheme="majorBidi"/>
          <w:color w:val="000000"/>
          <w:szCs w:val="22"/>
          <w:u w:color="FFFFFF"/>
        </w:rPr>
        <w:t>interval</w:t>
      </w:r>
      <w:r w:rsidR="00620A58" w:rsidRPr="00D21D8C">
        <w:rPr>
          <w:rFonts w:asciiTheme="majorBidi" w:hAnsiTheme="majorBidi" w:cstheme="majorBidi"/>
          <w:color w:val="000000"/>
          <w:szCs w:val="22"/>
          <w:u w:color="FFFFFF"/>
        </w:rPr>
        <w:t>)</w:t>
      </w:r>
      <w:r w:rsidRPr="00D21D8C">
        <w:rPr>
          <w:rFonts w:asciiTheme="majorBidi" w:hAnsiTheme="majorBidi" w:cstheme="majorBidi"/>
          <w:color w:val="000000"/>
          <w:szCs w:val="22"/>
          <w:u w:color="FFFFFF"/>
        </w:rPr>
        <w:t xml:space="preserve"> werd </w:t>
      </w:r>
      <w:r w:rsidR="00E05D44" w:rsidRPr="00D21D8C">
        <w:rPr>
          <w:rFonts w:asciiTheme="majorBidi" w:hAnsiTheme="majorBidi" w:cstheme="majorBidi"/>
          <w:color w:val="000000"/>
          <w:szCs w:val="22"/>
          <w:u w:color="FFFFFF"/>
        </w:rPr>
        <w:t xml:space="preserve">onderzocht </w:t>
      </w:r>
      <w:r w:rsidRPr="00D21D8C">
        <w:rPr>
          <w:rFonts w:asciiTheme="majorBidi" w:hAnsiTheme="majorBidi" w:cstheme="majorBidi"/>
          <w:color w:val="000000"/>
          <w:szCs w:val="22"/>
          <w:u w:color="FFFFFF"/>
        </w:rPr>
        <w:t>in een onderzoek met placebo en positieve controles bij 30 gezonde proefpersonen. De geselecteerde dosis is ongeveer 2 </w:t>
      </w:r>
      <w:r w:rsidR="002A473B" w:rsidRPr="00D21D8C">
        <w:rPr>
          <w:rFonts w:asciiTheme="majorBidi" w:hAnsiTheme="majorBidi" w:cstheme="majorBidi"/>
          <w:color w:val="000000"/>
          <w:szCs w:val="22"/>
          <w:u w:color="FFFFFF"/>
        </w:rPr>
        <w:t xml:space="preserve">keer </w:t>
      </w:r>
      <w:r w:rsidRPr="00D21D8C">
        <w:rPr>
          <w:rFonts w:asciiTheme="majorBidi" w:hAnsiTheme="majorBidi" w:cstheme="majorBidi"/>
          <w:color w:val="000000"/>
          <w:szCs w:val="22"/>
          <w:u w:color="FFFFFF"/>
        </w:rPr>
        <w:t xml:space="preserve">hoger dan de concentraties </w:t>
      </w:r>
      <w:r w:rsidR="002A473B" w:rsidRPr="00D21D8C">
        <w:rPr>
          <w:rFonts w:asciiTheme="majorBidi" w:hAnsiTheme="majorBidi" w:cstheme="majorBidi"/>
          <w:color w:val="000000"/>
          <w:szCs w:val="22"/>
          <w:u w:color="FFFFFF"/>
        </w:rPr>
        <w:t xml:space="preserve">die bij </w:t>
      </w:r>
      <w:r w:rsidRPr="00D21D8C">
        <w:rPr>
          <w:rFonts w:asciiTheme="majorBidi" w:hAnsiTheme="majorBidi" w:cstheme="majorBidi"/>
          <w:color w:val="000000"/>
          <w:szCs w:val="22"/>
          <w:u w:color="FFFFFF"/>
        </w:rPr>
        <w:t>de steady state</w:t>
      </w:r>
      <w:r w:rsidR="002A473B" w:rsidRPr="00D21D8C">
        <w:rPr>
          <w:rFonts w:asciiTheme="majorBidi" w:hAnsiTheme="majorBidi" w:cstheme="majorBidi"/>
          <w:color w:val="000000"/>
          <w:szCs w:val="22"/>
          <w:u w:color="FFFFFF"/>
        </w:rPr>
        <w:t xml:space="preserve"> worden</w:t>
      </w:r>
      <w:r w:rsidRPr="00D21D8C">
        <w:rPr>
          <w:rFonts w:asciiTheme="majorBidi" w:hAnsiTheme="majorBidi" w:cstheme="majorBidi"/>
          <w:color w:val="000000"/>
          <w:szCs w:val="22"/>
          <w:u w:color="FFFFFF"/>
        </w:rPr>
        <w:t xml:space="preserve"> bereikt bij de aanbevolen dosis van 200 mg eenmaal daags. Pirtobrutinib had geen klinisch relevant effect op de verandering in QT-interval gecorrigeerd voor hartslag met behulp van de Fridericia-formule (QTcF) (d.w.z. &gt; 10 ms) en er was geen verband tussen blootstelling aan pirtobrutinib en verandering in het QTc-interval. </w:t>
      </w:r>
    </w:p>
    <w:p w14:paraId="30AC4CC4" w14:textId="77777777" w:rsidR="001A274F" w:rsidRPr="00D21D8C" w:rsidRDefault="001A274F">
      <w:pPr>
        <w:spacing w:line="240" w:lineRule="auto"/>
        <w:rPr>
          <w:rFonts w:asciiTheme="majorBidi" w:hAnsiTheme="majorBidi" w:cstheme="majorBidi"/>
          <w:szCs w:val="22"/>
        </w:rPr>
      </w:pPr>
    </w:p>
    <w:p w14:paraId="5D09CF1F" w14:textId="77777777"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val="single" w:color="000000"/>
        </w:rPr>
        <w:t>Klinische werkzaamheid en veiligheid</w:t>
      </w:r>
    </w:p>
    <w:p w14:paraId="5C5BC2E2" w14:textId="77777777" w:rsidR="001A274F" w:rsidRPr="00D21D8C" w:rsidRDefault="001A274F">
      <w:pPr>
        <w:keepNext/>
        <w:spacing w:line="240" w:lineRule="auto"/>
        <w:rPr>
          <w:rFonts w:asciiTheme="majorBidi" w:hAnsiTheme="majorBidi" w:cstheme="majorBidi"/>
          <w:szCs w:val="22"/>
        </w:rPr>
      </w:pPr>
    </w:p>
    <w:p w14:paraId="7DB6BB96" w14:textId="77777777" w:rsidR="00012E85" w:rsidRPr="000D0EC8" w:rsidRDefault="00012E85">
      <w:pPr>
        <w:keepNext/>
        <w:spacing w:line="240" w:lineRule="auto"/>
        <w:rPr>
          <w:rFonts w:asciiTheme="majorBidi" w:hAnsiTheme="majorBidi" w:cstheme="majorBidi"/>
          <w:i/>
          <w:iCs/>
          <w:color w:val="000000"/>
          <w:szCs w:val="22"/>
          <w:u w:color="FFFFFF"/>
        </w:rPr>
      </w:pPr>
      <w:r w:rsidRPr="000D0EC8">
        <w:rPr>
          <w:rFonts w:asciiTheme="majorBidi" w:hAnsiTheme="majorBidi" w:cstheme="majorBidi"/>
          <w:i/>
          <w:iCs/>
          <w:color w:val="000000"/>
          <w:szCs w:val="22"/>
          <w:u w:color="FFFFFF"/>
        </w:rPr>
        <w:t>Mantelcellymfoom</w:t>
      </w:r>
    </w:p>
    <w:p w14:paraId="47504426" w14:textId="3CF42831"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color="FFFFFF"/>
        </w:rPr>
        <w:t xml:space="preserve">De werkzaamheid van Jaypirca werd </w:t>
      </w:r>
      <w:r w:rsidR="00E05D44" w:rsidRPr="00D21D8C">
        <w:rPr>
          <w:rFonts w:asciiTheme="majorBidi" w:hAnsiTheme="majorBidi" w:cstheme="majorBidi"/>
          <w:color w:val="000000"/>
          <w:szCs w:val="22"/>
          <w:u w:color="FFFFFF"/>
        </w:rPr>
        <w:t xml:space="preserve">onderzocht </w:t>
      </w:r>
      <w:r w:rsidRPr="00D21D8C">
        <w:rPr>
          <w:rFonts w:asciiTheme="majorBidi" w:hAnsiTheme="majorBidi" w:cstheme="majorBidi"/>
          <w:color w:val="000000"/>
          <w:szCs w:val="22"/>
          <w:u w:color="FFFFFF"/>
        </w:rPr>
        <w:t xml:space="preserve">bij volwassen patiënten met MCL in een </w:t>
      </w:r>
      <w:r w:rsidR="00E05D44" w:rsidRPr="00D21D8C">
        <w:rPr>
          <w:rFonts w:asciiTheme="majorBidi" w:hAnsiTheme="majorBidi" w:cstheme="majorBidi"/>
          <w:color w:val="000000"/>
          <w:szCs w:val="22"/>
          <w:u w:color="FFFFFF"/>
        </w:rPr>
        <w:t>multicenter</w:t>
      </w:r>
      <w:r w:rsidRPr="00D21D8C">
        <w:rPr>
          <w:rFonts w:asciiTheme="majorBidi" w:hAnsiTheme="majorBidi" w:cstheme="majorBidi"/>
          <w:color w:val="000000"/>
          <w:szCs w:val="22"/>
          <w:u w:color="FFFFFF"/>
        </w:rPr>
        <w:t>, open-label</w:t>
      </w:r>
      <w:r w:rsidR="00E05D44" w:rsidRPr="00D21D8C">
        <w:rPr>
          <w:rFonts w:asciiTheme="majorBidi" w:hAnsiTheme="majorBidi" w:cstheme="majorBidi"/>
          <w:color w:val="000000"/>
          <w:szCs w:val="22"/>
          <w:u w:color="FFFFFF"/>
        </w:rPr>
        <w:t>, eenarmig</w:t>
      </w:r>
      <w:r w:rsidRPr="00D21D8C">
        <w:rPr>
          <w:rFonts w:asciiTheme="majorBidi" w:hAnsiTheme="majorBidi" w:cstheme="majorBidi"/>
          <w:color w:val="000000"/>
          <w:szCs w:val="22"/>
          <w:u w:color="FFFFFF"/>
        </w:rPr>
        <w:t xml:space="preserve"> klinisch </w:t>
      </w:r>
      <w:r w:rsidR="00620A58" w:rsidRPr="00D21D8C">
        <w:rPr>
          <w:rFonts w:asciiTheme="majorBidi" w:hAnsiTheme="majorBidi" w:cstheme="majorBidi"/>
          <w:color w:val="000000"/>
          <w:szCs w:val="22"/>
          <w:u w:color="FFFFFF"/>
        </w:rPr>
        <w:t>fase 1/2-</w:t>
      </w:r>
      <w:r w:rsidRPr="00D21D8C">
        <w:rPr>
          <w:rFonts w:asciiTheme="majorBidi" w:hAnsiTheme="majorBidi" w:cstheme="majorBidi"/>
          <w:color w:val="000000"/>
          <w:szCs w:val="22"/>
          <w:u w:color="FFFFFF"/>
        </w:rPr>
        <w:t>onderzoek: Onderzoek</w:t>
      </w:r>
      <w:r w:rsidR="000D574A"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18001 (BRUIN). Het onderzoek omvatte twee delen: een fase 1</w:t>
      </w:r>
      <w:r w:rsidR="00620A58" w:rsidRPr="00D21D8C">
        <w:rPr>
          <w:rFonts w:asciiTheme="majorBidi" w:hAnsiTheme="majorBidi" w:cstheme="majorBidi"/>
          <w:color w:val="000000"/>
          <w:szCs w:val="22"/>
          <w:u w:color="FFFFFF"/>
        </w:rPr>
        <w:t>-dosisescalatieonderzoek</w:t>
      </w:r>
      <w:r w:rsidRPr="00D21D8C">
        <w:rPr>
          <w:rFonts w:asciiTheme="majorBidi" w:hAnsiTheme="majorBidi" w:cstheme="majorBidi"/>
          <w:color w:val="000000"/>
          <w:szCs w:val="22"/>
          <w:u w:color="FFFFFF"/>
        </w:rPr>
        <w:t>, waarin het dosisbereik van monotherapie pirtobrutinib van 25 mg tot 300 mg eenmaal daags werd onderzocht, en een fase 2</w:t>
      </w:r>
      <w:r w:rsidR="00620A58" w:rsidRPr="00D21D8C">
        <w:rPr>
          <w:rFonts w:asciiTheme="majorBidi" w:hAnsiTheme="majorBidi" w:cstheme="majorBidi"/>
          <w:color w:val="000000"/>
          <w:szCs w:val="22"/>
          <w:u w:color="FFFFFF"/>
        </w:rPr>
        <w:t>-dosisexpansieonderzoek</w:t>
      </w:r>
      <w:r w:rsidRPr="00D21D8C">
        <w:rPr>
          <w:rFonts w:asciiTheme="majorBidi" w:hAnsiTheme="majorBidi" w:cstheme="majorBidi"/>
          <w:color w:val="000000"/>
          <w:szCs w:val="22"/>
          <w:u w:color="FFFFFF"/>
        </w:rPr>
        <w:t xml:space="preserve">. </w:t>
      </w:r>
      <w:r w:rsidR="00E05D44" w:rsidRPr="00D21D8C">
        <w:rPr>
          <w:rFonts w:asciiTheme="majorBidi" w:hAnsiTheme="majorBidi" w:cstheme="majorBidi"/>
          <w:color w:val="000000"/>
          <w:szCs w:val="22"/>
          <w:u w:color="FFFFFF"/>
        </w:rPr>
        <w:t xml:space="preserve">Het </w:t>
      </w:r>
      <w:r w:rsidRPr="00D21D8C">
        <w:rPr>
          <w:rFonts w:asciiTheme="majorBidi" w:hAnsiTheme="majorBidi" w:cstheme="majorBidi"/>
          <w:color w:val="000000"/>
          <w:szCs w:val="22"/>
          <w:u w:color="FFFFFF"/>
        </w:rPr>
        <w:t>primaire doel van het fase 1-deel was het bepalen van de aanbevolen dos</w:t>
      </w:r>
      <w:r w:rsidR="006213E1" w:rsidRPr="00D21D8C">
        <w:rPr>
          <w:rFonts w:asciiTheme="majorBidi" w:hAnsiTheme="majorBidi" w:cstheme="majorBidi"/>
          <w:color w:val="000000"/>
          <w:szCs w:val="22"/>
          <w:u w:color="FFFFFF"/>
        </w:rPr>
        <w:t>ering</w:t>
      </w:r>
      <w:r w:rsidRPr="00D21D8C">
        <w:rPr>
          <w:rFonts w:asciiTheme="majorBidi" w:hAnsiTheme="majorBidi" w:cstheme="majorBidi"/>
          <w:color w:val="000000"/>
          <w:szCs w:val="22"/>
          <w:u w:color="FFFFFF"/>
        </w:rPr>
        <w:t xml:space="preserve"> </w:t>
      </w:r>
      <w:r w:rsidR="007B5425" w:rsidRPr="00D21D8C">
        <w:rPr>
          <w:rFonts w:asciiTheme="majorBidi" w:hAnsiTheme="majorBidi" w:cstheme="majorBidi"/>
          <w:color w:val="000000"/>
          <w:szCs w:val="22"/>
          <w:u w:color="FFFFFF"/>
        </w:rPr>
        <w:t xml:space="preserve">van pirtobrutinib </w:t>
      </w:r>
      <w:r w:rsidRPr="00D21D8C">
        <w:rPr>
          <w:rFonts w:asciiTheme="majorBidi" w:hAnsiTheme="majorBidi" w:cstheme="majorBidi"/>
          <w:color w:val="000000"/>
          <w:szCs w:val="22"/>
          <w:u w:color="FFFFFF"/>
        </w:rPr>
        <w:t>in fase</w:t>
      </w:r>
      <w:r w:rsidR="006213E1"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 xml:space="preserve">2, die werd vastgesteld als 200 mg eenmaal daags, zonder dat </w:t>
      </w:r>
      <w:r w:rsidR="009D462C" w:rsidRPr="00D21D8C">
        <w:rPr>
          <w:rFonts w:asciiTheme="majorBidi" w:hAnsiTheme="majorBidi" w:cstheme="majorBidi"/>
          <w:color w:val="000000"/>
          <w:szCs w:val="22"/>
          <w:u w:color="FFFFFF"/>
        </w:rPr>
        <w:t>de</w:t>
      </w:r>
      <w:r w:rsidRPr="00D21D8C">
        <w:rPr>
          <w:rFonts w:asciiTheme="majorBidi" w:hAnsiTheme="majorBidi" w:cstheme="majorBidi"/>
          <w:color w:val="000000"/>
          <w:szCs w:val="22"/>
          <w:u w:color="FFFFFF"/>
        </w:rPr>
        <w:t xml:space="preserve"> maximaal verdraagbare dosis werd </w:t>
      </w:r>
      <w:r w:rsidR="00E20438" w:rsidRPr="00D21D8C">
        <w:rPr>
          <w:rFonts w:asciiTheme="majorBidi" w:hAnsiTheme="majorBidi" w:cstheme="majorBidi"/>
          <w:color w:val="000000"/>
          <w:szCs w:val="22"/>
          <w:u w:color="FFFFFF"/>
        </w:rPr>
        <w:t>vast</w:t>
      </w:r>
      <w:r w:rsidR="00BB20B5" w:rsidRPr="00D21D8C">
        <w:rPr>
          <w:rFonts w:asciiTheme="majorBidi" w:hAnsiTheme="majorBidi" w:cstheme="majorBidi"/>
          <w:color w:val="000000"/>
          <w:szCs w:val="22"/>
          <w:u w:color="FFFFFF"/>
        </w:rPr>
        <w:t>gesteld</w:t>
      </w:r>
      <w:r w:rsidRPr="00D21D8C">
        <w:rPr>
          <w:rFonts w:asciiTheme="majorBidi" w:hAnsiTheme="majorBidi" w:cstheme="majorBidi"/>
          <w:color w:val="000000"/>
          <w:szCs w:val="22"/>
          <w:u w:color="FFFFFF"/>
        </w:rPr>
        <w:t xml:space="preserve">. Het primaire doel van het fase 2-deel was </w:t>
      </w:r>
      <w:r w:rsidR="00E05D44" w:rsidRPr="00D21D8C">
        <w:rPr>
          <w:rFonts w:asciiTheme="majorBidi" w:hAnsiTheme="majorBidi" w:cstheme="majorBidi"/>
          <w:color w:val="000000"/>
          <w:szCs w:val="22"/>
          <w:u w:color="FFFFFF"/>
        </w:rPr>
        <w:t xml:space="preserve">het </w:t>
      </w:r>
      <w:r w:rsidRPr="00D21D8C">
        <w:rPr>
          <w:rFonts w:asciiTheme="majorBidi" w:hAnsiTheme="majorBidi" w:cstheme="majorBidi"/>
          <w:color w:val="000000"/>
          <w:szCs w:val="22"/>
          <w:u w:color="FFFFFF"/>
        </w:rPr>
        <w:t>beoordel</w:t>
      </w:r>
      <w:r w:rsidR="00E05D44" w:rsidRPr="00D21D8C">
        <w:rPr>
          <w:rFonts w:asciiTheme="majorBidi" w:hAnsiTheme="majorBidi" w:cstheme="majorBidi"/>
          <w:color w:val="000000"/>
          <w:szCs w:val="22"/>
          <w:u w:color="FFFFFF"/>
        </w:rPr>
        <w:t>en</w:t>
      </w:r>
      <w:r w:rsidRPr="00D21D8C">
        <w:rPr>
          <w:rFonts w:asciiTheme="majorBidi" w:hAnsiTheme="majorBidi" w:cstheme="majorBidi"/>
          <w:color w:val="000000"/>
          <w:szCs w:val="22"/>
          <w:u w:color="FFFFFF"/>
        </w:rPr>
        <w:t xml:space="preserve"> van de antitumoractiviteit van pirtobrutinib op basis van het totale responspercentage, </w:t>
      </w:r>
      <w:r w:rsidR="00D04334" w:rsidRPr="00D21D8C">
        <w:rPr>
          <w:rFonts w:asciiTheme="majorBidi" w:hAnsiTheme="majorBidi" w:cstheme="majorBidi"/>
          <w:color w:val="000000"/>
          <w:szCs w:val="22"/>
          <w:u w:color="FFFFFF"/>
        </w:rPr>
        <w:t>dat</w:t>
      </w:r>
      <w:r w:rsidR="00E05D44" w:rsidRPr="00D21D8C">
        <w:rPr>
          <w:rFonts w:asciiTheme="majorBidi" w:hAnsiTheme="majorBidi" w:cstheme="majorBidi"/>
          <w:color w:val="000000"/>
          <w:szCs w:val="22"/>
          <w:u w:color="FFFFFF"/>
        </w:rPr>
        <w:t xml:space="preserve"> </w:t>
      </w:r>
      <w:r w:rsidRPr="00D21D8C">
        <w:rPr>
          <w:rFonts w:asciiTheme="majorBidi" w:hAnsiTheme="majorBidi" w:cstheme="majorBidi"/>
          <w:color w:val="000000"/>
          <w:szCs w:val="22"/>
          <w:u w:color="FFFFFF"/>
        </w:rPr>
        <w:t xml:space="preserve">beoordeeld </w:t>
      </w:r>
      <w:r w:rsidR="00D04334" w:rsidRPr="00D21D8C">
        <w:rPr>
          <w:rFonts w:asciiTheme="majorBidi" w:hAnsiTheme="majorBidi" w:cstheme="majorBidi"/>
          <w:color w:val="000000"/>
          <w:szCs w:val="22"/>
          <w:u w:color="FFFFFF"/>
        </w:rPr>
        <w:t xml:space="preserve">werd </w:t>
      </w:r>
      <w:r w:rsidRPr="00D21D8C">
        <w:rPr>
          <w:rFonts w:asciiTheme="majorBidi" w:hAnsiTheme="majorBidi" w:cstheme="majorBidi"/>
          <w:color w:val="000000"/>
          <w:szCs w:val="22"/>
          <w:u w:color="FFFFFF"/>
        </w:rPr>
        <w:t>door een onafhankelijke beoordelingscommissie. Patiënten kregen Jaypirca dagelijks oraal tot ziekteprogressie of onaanvaardbare toxiciteit.</w:t>
      </w:r>
    </w:p>
    <w:p w14:paraId="6D533CCB" w14:textId="77777777" w:rsidR="001A274F" w:rsidRPr="00D21D8C" w:rsidRDefault="001A274F">
      <w:pPr>
        <w:spacing w:line="240" w:lineRule="auto"/>
        <w:rPr>
          <w:rFonts w:asciiTheme="majorBidi" w:hAnsiTheme="majorBidi" w:cstheme="majorBidi"/>
          <w:szCs w:val="22"/>
        </w:rPr>
      </w:pPr>
    </w:p>
    <w:p w14:paraId="2D503387" w14:textId="1C21D543" w:rsidR="001A274F" w:rsidRPr="00D21D8C" w:rsidRDefault="00DA418A">
      <w:pPr>
        <w:spacing w:line="240" w:lineRule="auto"/>
        <w:rPr>
          <w:rFonts w:asciiTheme="majorBidi" w:hAnsiTheme="majorBidi" w:cstheme="majorBidi"/>
          <w:szCs w:val="22"/>
        </w:rPr>
      </w:pPr>
      <w:r w:rsidRPr="00D21D8C">
        <w:rPr>
          <w:rFonts w:asciiTheme="majorBidi" w:hAnsiTheme="majorBidi" w:cstheme="majorBidi"/>
          <w:color w:val="000000"/>
          <w:szCs w:val="22"/>
          <w:u w:color="FFFFFF"/>
        </w:rPr>
        <w:t>Onderzoek</w:t>
      </w:r>
      <w:r w:rsidR="00CE0C9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18001 omvatte en behandelde in totaal 164 patiënten met de diagnose MCL. De primaire analyseset (PAS) voor</w:t>
      </w:r>
      <w:r w:rsidR="004962F1" w:rsidRPr="00D21D8C">
        <w:rPr>
          <w:rFonts w:asciiTheme="majorBidi" w:hAnsiTheme="majorBidi" w:cstheme="majorBidi"/>
          <w:color w:val="000000"/>
          <w:szCs w:val="22"/>
          <w:u w:color="FFFFFF"/>
        </w:rPr>
        <w:t xml:space="preserve"> de</w:t>
      </w:r>
      <w:r w:rsidRPr="00D21D8C">
        <w:rPr>
          <w:rFonts w:asciiTheme="majorBidi" w:hAnsiTheme="majorBidi" w:cstheme="majorBidi"/>
          <w:color w:val="000000"/>
          <w:szCs w:val="22"/>
          <w:u w:color="FFFFFF"/>
        </w:rPr>
        <w:t xml:space="preserve"> beoordeling van de werkzaamheid was gebaseerd op de eerste 90 patiënten met MCL die werden ingeschreven</w:t>
      </w:r>
      <w:r w:rsidR="004962F1" w:rsidRPr="00D21D8C">
        <w:rPr>
          <w:rFonts w:asciiTheme="majorBidi" w:hAnsiTheme="majorBidi" w:cstheme="majorBidi"/>
          <w:color w:val="000000"/>
          <w:szCs w:val="22"/>
          <w:u w:color="FFFFFF"/>
        </w:rPr>
        <w:t>. Deze patiënten hadden</w:t>
      </w:r>
      <w:r w:rsidRPr="00D21D8C">
        <w:rPr>
          <w:rFonts w:asciiTheme="majorBidi" w:hAnsiTheme="majorBidi" w:cstheme="majorBidi"/>
          <w:color w:val="000000"/>
          <w:szCs w:val="22"/>
          <w:u w:color="FFFFFF"/>
        </w:rPr>
        <w:t xml:space="preserve"> geen bekende betrokkenheid van het centraal zenuwstelsel (CZS), </w:t>
      </w:r>
      <w:r w:rsidR="004962F1" w:rsidRPr="00D21D8C">
        <w:rPr>
          <w:rFonts w:asciiTheme="majorBidi" w:hAnsiTheme="majorBidi" w:cstheme="majorBidi"/>
          <w:color w:val="000000"/>
          <w:szCs w:val="22"/>
          <w:u w:color="FFFFFF"/>
        </w:rPr>
        <w:t xml:space="preserve">waren </w:t>
      </w:r>
      <w:r w:rsidRPr="00D21D8C">
        <w:rPr>
          <w:rFonts w:asciiTheme="majorBidi" w:hAnsiTheme="majorBidi" w:cstheme="majorBidi"/>
          <w:color w:val="000000"/>
          <w:szCs w:val="22"/>
          <w:u w:color="FFFFFF"/>
        </w:rPr>
        <w:t xml:space="preserve">eerder behandeld met een BTK-remmer, </w:t>
      </w:r>
      <w:r w:rsidR="004962F1" w:rsidRPr="00D21D8C">
        <w:rPr>
          <w:rFonts w:asciiTheme="majorBidi" w:hAnsiTheme="majorBidi" w:cstheme="majorBidi"/>
          <w:color w:val="000000"/>
          <w:szCs w:val="22"/>
          <w:u w:color="FFFFFF"/>
        </w:rPr>
        <w:t xml:space="preserve">hadden </w:t>
      </w:r>
      <w:r w:rsidRPr="00D21D8C">
        <w:rPr>
          <w:rFonts w:asciiTheme="majorBidi" w:hAnsiTheme="majorBidi" w:cstheme="majorBidi"/>
          <w:color w:val="000000"/>
          <w:szCs w:val="22"/>
          <w:u w:color="FFFFFF"/>
        </w:rPr>
        <w:t xml:space="preserve">één of meer doses Jaypirca ontvangen en </w:t>
      </w:r>
      <w:r w:rsidR="004962F1" w:rsidRPr="00D21D8C">
        <w:rPr>
          <w:rFonts w:asciiTheme="majorBidi" w:hAnsiTheme="majorBidi" w:cstheme="majorBidi"/>
          <w:color w:val="000000"/>
          <w:szCs w:val="22"/>
          <w:u w:color="FFFFFF"/>
        </w:rPr>
        <w:t xml:space="preserve">hadden </w:t>
      </w:r>
      <w:r w:rsidRPr="00D21D8C">
        <w:rPr>
          <w:rFonts w:asciiTheme="majorBidi" w:hAnsiTheme="majorBidi" w:cstheme="majorBidi"/>
          <w:color w:val="000000"/>
          <w:szCs w:val="22"/>
          <w:u w:color="FFFFFF"/>
        </w:rPr>
        <w:t xml:space="preserve">ten minste 1 plaats van </w:t>
      </w:r>
      <w:r w:rsidR="0031150F" w:rsidRPr="00D21D8C">
        <w:rPr>
          <w:rFonts w:asciiTheme="majorBidi" w:hAnsiTheme="majorBidi" w:cstheme="majorBidi"/>
          <w:color w:val="000000"/>
          <w:szCs w:val="22"/>
          <w:u w:color="FFFFFF"/>
        </w:rPr>
        <w:t xml:space="preserve">waar </w:t>
      </w:r>
      <w:r w:rsidR="00FA513B" w:rsidRPr="00D21D8C">
        <w:rPr>
          <w:rFonts w:asciiTheme="majorBidi" w:hAnsiTheme="majorBidi" w:cstheme="majorBidi"/>
          <w:color w:val="000000"/>
          <w:szCs w:val="22"/>
          <w:u w:color="FFFFFF"/>
        </w:rPr>
        <w:t xml:space="preserve">de ziekte </w:t>
      </w:r>
      <w:r w:rsidRPr="00D21D8C">
        <w:rPr>
          <w:rFonts w:asciiTheme="majorBidi" w:hAnsiTheme="majorBidi" w:cstheme="majorBidi"/>
          <w:color w:val="000000"/>
          <w:szCs w:val="22"/>
          <w:u w:color="FFFFFF"/>
        </w:rPr>
        <w:t>radiografisch</w:t>
      </w:r>
      <w:r w:rsidR="007B5425" w:rsidRPr="00D21D8C">
        <w:rPr>
          <w:rFonts w:asciiTheme="majorBidi" w:hAnsiTheme="majorBidi" w:cstheme="majorBidi"/>
          <w:color w:val="000000"/>
          <w:szCs w:val="22"/>
          <w:u w:color="FFFFFF"/>
        </w:rPr>
        <w:t xml:space="preserve"> </w:t>
      </w:r>
      <w:r w:rsidR="00FA513B" w:rsidRPr="00D21D8C">
        <w:rPr>
          <w:rFonts w:asciiTheme="majorBidi" w:hAnsiTheme="majorBidi" w:cstheme="majorBidi"/>
          <w:color w:val="000000"/>
          <w:szCs w:val="22"/>
          <w:u w:color="FFFFFF"/>
        </w:rPr>
        <w:t>te beoordelen was</w:t>
      </w:r>
      <w:r w:rsidRPr="00D21D8C">
        <w:rPr>
          <w:rFonts w:asciiTheme="majorBidi" w:hAnsiTheme="majorBidi" w:cstheme="majorBidi"/>
          <w:color w:val="000000"/>
          <w:szCs w:val="22"/>
          <w:u w:color="FFFFFF"/>
        </w:rPr>
        <w:t>. De mediane leeftijd was 70 jaar (bereik: 46 tot 87 jaar), 80% wa</w:t>
      </w:r>
      <w:r w:rsidR="004962F1" w:rsidRPr="00D21D8C">
        <w:rPr>
          <w:rFonts w:asciiTheme="majorBidi" w:hAnsiTheme="majorBidi" w:cstheme="majorBidi"/>
          <w:color w:val="000000"/>
          <w:szCs w:val="22"/>
          <w:u w:color="FFFFFF"/>
        </w:rPr>
        <w:t>s</w:t>
      </w:r>
      <w:r w:rsidRPr="00D21D8C">
        <w:rPr>
          <w:rFonts w:asciiTheme="majorBidi" w:hAnsiTheme="majorBidi" w:cstheme="majorBidi"/>
          <w:color w:val="000000"/>
          <w:szCs w:val="22"/>
          <w:u w:color="FFFFFF"/>
        </w:rPr>
        <w:t xml:space="preserve"> man, 84,4% was blank, 67,8% had een baseline </w:t>
      </w:r>
      <w:r w:rsidRPr="00D21D8C">
        <w:rPr>
          <w:rFonts w:asciiTheme="majorBidi" w:hAnsiTheme="majorBidi" w:cstheme="majorBidi"/>
          <w:i/>
          <w:iCs/>
          <w:color w:val="000000"/>
          <w:szCs w:val="22"/>
          <w:u w:color="FFFFFF"/>
        </w:rPr>
        <w:t>Eastern Cooperative Oncology Group</w:t>
      </w:r>
      <w:r w:rsidRPr="00D21D8C">
        <w:rPr>
          <w:rFonts w:asciiTheme="majorBidi" w:hAnsiTheme="majorBidi" w:cstheme="majorBidi"/>
          <w:color w:val="000000"/>
          <w:szCs w:val="22"/>
          <w:u w:color="FFFFFF"/>
        </w:rPr>
        <w:t xml:space="preserve"> (ECOG)-</w:t>
      </w:r>
      <w:r w:rsidR="0037105A" w:rsidRPr="00D21D8C">
        <w:rPr>
          <w:rFonts w:asciiTheme="majorBidi" w:hAnsiTheme="majorBidi" w:cstheme="majorBidi"/>
          <w:color w:val="000000"/>
          <w:szCs w:val="22"/>
          <w:u w:color="FFFFFF"/>
        </w:rPr>
        <w:t xml:space="preserve">score </w:t>
      </w:r>
      <w:r w:rsidRPr="00D21D8C">
        <w:rPr>
          <w:rFonts w:asciiTheme="majorBidi" w:hAnsiTheme="majorBidi" w:cstheme="majorBidi"/>
          <w:color w:val="000000"/>
          <w:szCs w:val="22"/>
          <w:u w:color="FFFFFF"/>
        </w:rPr>
        <w:t>van 0 en 31,1% had ECOG-</w:t>
      </w:r>
      <w:r w:rsidR="0037105A" w:rsidRPr="00D21D8C">
        <w:rPr>
          <w:rFonts w:asciiTheme="majorBidi" w:hAnsiTheme="majorBidi" w:cstheme="majorBidi"/>
          <w:color w:val="000000"/>
          <w:szCs w:val="22"/>
          <w:u w:color="FFFFFF"/>
        </w:rPr>
        <w:t xml:space="preserve">score </w:t>
      </w:r>
      <w:r w:rsidRPr="00D21D8C">
        <w:rPr>
          <w:rFonts w:asciiTheme="majorBidi" w:hAnsiTheme="majorBidi" w:cstheme="majorBidi"/>
          <w:color w:val="000000"/>
          <w:szCs w:val="22"/>
          <w:u w:color="FFFFFF"/>
        </w:rPr>
        <w:t xml:space="preserve">van 1. Patiënten hadden een gemiddelde van 3 </w:t>
      </w:r>
      <w:r w:rsidR="004962F1" w:rsidRPr="00D21D8C">
        <w:rPr>
          <w:rFonts w:asciiTheme="majorBidi" w:hAnsiTheme="majorBidi" w:cstheme="majorBidi"/>
          <w:color w:val="000000"/>
          <w:szCs w:val="22"/>
          <w:u w:color="FFFFFF"/>
        </w:rPr>
        <w:t xml:space="preserve">eerdere </w:t>
      </w:r>
      <w:r w:rsidRPr="00D21D8C">
        <w:rPr>
          <w:rFonts w:asciiTheme="majorBidi" w:hAnsiTheme="majorBidi" w:cstheme="majorBidi"/>
          <w:color w:val="000000"/>
          <w:szCs w:val="22"/>
          <w:u w:color="FFFFFF"/>
        </w:rPr>
        <w:t>therapielijnen (bereik:</w:t>
      </w:r>
      <w:r w:rsidR="00067B6F"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1</w:t>
      </w:r>
      <w:r w:rsidR="00067B6F"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tot</w:t>
      </w:r>
      <w:r w:rsidR="00067B6F"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 xml:space="preserve">8), met </w:t>
      </w:r>
      <w:r w:rsidR="004962F1" w:rsidRPr="00D21D8C">
        <w:rPr>
          <w:rFonts w:asciiTheme="majorBidi" w:hAnsiTheme="majorBidi" w:cstheme="majorBidi"/>
          <w:color w:val="000000"/>
          <w:szCs w:val="22"/>
          <w:u w:color="FFFFFF"/>
        </w:rPr>
        <w:t xml:space="preserve">als </w:t>
      </w:r>
      <w:r w:rsidRPr="00D21D8C">
        <w:rPr>
          <w:rFonts w:asciiTheme="majorBidi" w:hAnsiTheme="majorBidi" w:cstheme="majorBidi"/>
          <w:color w:val="000000"/>
          <w:szCs w:val="22"/>
          <w:u w:color="FFFFFF"/>
        </w:rPr>
        <w:t>reden voor stopzetting van de meest recente eerdere</w:t>
      </w:r>
      <w:r w:rsidR="004962F1" w:rsidRPr="00D21D8C">
        <w:rPr>
          <w:rFonts w:asciiTheme="majorBidi" w:hAnsiTheme="majorBidi" w:cstheme="majorBidi"/>
          <w:color w:val="000000"/>
          <w:szCs w:val="22"/>
          <w:u w:color="FFFFFF"/>
        </w:rPr>
        <w:t xml:space="preserve"> behandeling met</w:t>
      </w:r>
      <w:r w:rsidRPr="00D21D8C">
        <w:rPr>
          <w:rFonts w:asciiTheme="majorBidi" w:hAnsiTheme="majorBidi" w:cstheme="majorBidi"/>
          <w:color w:val="000000"/>
          <w:szCs w:val="22"/>
          <w:u w:color="FFFFFF"/>
        </w:rPr>
        <w:t xml:space="preserve"> </w:t>
      </w:r>
      <w:r w:rsidR="00F102D9" w:rsidRPr="00D21D8C">
        <w:rPr>
          <w:rFonts w:asciiTheme="majorBidi" w:hAnsiTheme="majorBidi" w:cstheme="majorBidi"/>
          <w:color w:val="000000"/>
          <w:szCs w:val="22"/>
          <w:u w:color="FFFFFF"/>
        </w:rPr>
        <w:t xml:space="preserve">een </w:t>
      </w:r>
      <w:r w:rsidRPr="00D21D8C">
        <w:rPr>
          <w:rFonts w:asciiTheme="majorBidi" w:hAnsiTheme="majorBidi" w:cstheme="majorBidi"/>
          <w:color w:val="000000"/>
          <w:szCs w:val="22"/>
          <w:u w:color="FFFFFF"/>
        </w:rPr>
        <w:t>BTK</w:t>
      </w:r>
      <w:r w:rsidR="00067B6F" w:rsidRPr="00D21D8C">
        <w:rPr>
          <w:rFonts w:asciiTheme="majorBidi" w:hAnsiTheme="majorBidi" w:cstheme="majorBidi"/>
          <w:color w:val="000000"/>
          <w:szCs w:val="22"/>
          <w:u w:color="FFFFFF"/>
        </w:rPr>
        <w:noBreakHyphen/>
      </w:r>
      <w:r w:rsidRPr="00D21D8C">
        <w:rPr>
          <w:rFonts w:asciiTheme="majorBidi" w:hAnsiTheme="majorBidi" w:cstheme="majorBidi"/>
          <w:color w:val="000000"/>
          <w:szCs w:val="22"/>
          <w:u w:color="FFFFFF"/>
        </w:rPr>
        <w:t>remmer progressie bij 81,1% van de patiënten en intolerantie bij 13,3% van de patiënten. 95,6%</w:t>
      </w:r>
      <w:r w:rsidR="00067B6F"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 xml:space="preserve">van de patiënten </w:t>
      </w:r>
      <w:r w:rsidR="004962F1" w:rsidRPr="00D21D8C">
        <w:rPr>
          <w:rFonts w:asciiTheme="majorBidi" w:hAnsiTheme="majorBidi" w:cstheme="majorBidi"/>
          <w:color w:val="000000"/>
          <w:szCs w:val="22"/>
          <w:u w:color="FFFFFF"/>
        </w:rPr>
        <w:t>kreeg eerder</w:t>
      </w:r>
      <w:r w:rsidR="005A75CC" w:rsidRPr="00D21D8C">
        <w:rPr>
          <w:rFonts w:asciiTheme="majorBidi" w:hAnsiTheme="majorBidi" w:cstheme="majorBidi"/>
          <w:color w:val="000000"/>
          <w:szCs w:val="22"/>
          <w:u w:color="FFFFFF"/>
        </w:rPr>
        <w:t>e</w:t>
      </w:r>
      <w:r w:rsidR="004962F1" w:rsidRPr="00D21D8C">
        <w:rPr>
          <w:rFonts w:asciiTheme="majorBidi" w:hAnsiTheme="majorBidi" w:cstheme="majorBidi"/>
          <w:color w:val="000000"/>
          <w:szCs w:val="22"/>
          <w:u w:color="FFFFFF"/>
        </w:rPr>
        <w:t xml:space="preserve"> </w:t>
      </w:r>
      <w:r w:rsidRPr="00D21D8C">
        <w:rPr>
          <w:rFonts w:asciiTheme="majorBidi" w:hAnsiTheme="majorBidi" w:cstheme="majorBidi"/>
          <w:color w:val="000000"/>
          <w:szCs w:val="22"/>
          <w:u w:color="FFFFFF"/>
        </w:rPr>
        <w:t>anti</w:t>
      </w:r>
      <w:r w:rsidR="004962F1" w:rsidRPr="00D21D8C">
        <w:rPr>
          <w:rFonts w:asciiTheme="majorBidi" w:hAnsiTheme="majorBidi" w:cstheme="majorBidi"/>
          <w:color w:val="000000"/>
          <w:szCs w:val="22"/>
          <w:u w:color="FFFFFF"/>
        </w:rPr>
        <w:t>-</w:t>
      </w:r>
      <w:r w:rsidRPr="00D21D8C">
        <w:rPr>
          <w:rFonts w:asciiTheme="majorBidi" w:hAnsiTheme="majorBidi" w:cstheme="majorBidi"/>
          <w:color w:val="000000"/>
          <w:szCs w:val="22"/>
          <w:u w:color="FFFFFF"/>
        </w:rPr>
        <w:t xml:space="preserve">CD20-therapie, 87,8% chemotherapie, 18,9% autologe stamceltransplantatie, 4,4% allogene stamceltransplantatie, 15,6% </w:t>
      </w:r>
      <w:r w:rsidR="004962F1" w:rsidRPr="00D21D8C">
        <w:rPr>
          <w:rFonts w:asciiTheme="majorBidi" w:hAnsiTheme="majorBidi" w:cstheme="majorBidi"/>
          <w:color w:val="000000"/>
          <w:szCs w:val="22"/>
          <w:u w:color="FFFFFF"/>
        </w:rPr>
        <w:t>eerder</w:t>
      </w:r>
      <w:r w:rsidR="005A75CC" w:rsidRPr="00D21D8C">
        <w:rPr>
          <w:rFonts w:asciiTheme="majorBidi" w:hAnsiTheme="majorBidi" w:cstheme="majorBidi"/>
          <w:color w:val="000000"/>
          <w:szCs w:val="22"/>
          <w:u w:color="FFFFFF"/>
        </w:rPr>
        <w:t>e</w:t>
      </w:r>
      <w:r w:rsidR="004962F1" w:rsidRPr="00D21D8C">
        <w:rPr>
          <w:rFonts w:asciiTheme="majorBidi" w:hAnsiTheme="majorBidi" w:cstheme="majorBidi"/>
          <w:color w:val="000000"/>
          <w:szCs w:val="22"/>
          <w:u w:color="FFFFFF"/>
        </w:rPr>
        <w:t xml:space="preserve"> </w:t>
      </w:r>
      <w:r w:rsidRPr="00D21D8C">
        <w:rPr>
          <w:rFonts w:asciiTheme="majorBidi" w:hAnsiTheme="majorBidi" w:cstheme="majorBidi"/>
          <w:color w:val="000000"/>
          <w:szCs w:val="22"/>
          <w:u w:color="FFFFFF"/>
        </w:rPr>
        <w:t xml:space="preserve">BCL2-remmer en 4,4% </w:t>
      </w:r>
      <w:r w:rsidR="004962F1" w:rsidRPr="00D21D8C">
        <w:rPr>
          <w:rFonts w:asciiTheme="majorBidi" w:hAnsiTheme="majorBidi" w:cstheme="majorBidi"/>
          <w:color w:val="000000"/>
          <w:szCs w:val="22"/>
          <w:u w:color="FFFFFF"/>
        </w:rPr>
        <w:t xml:space="preserve">kreeg </w:t>
      </w:r>
      <w:r w:rsidRPr="00D21D8C">
        <w:rPr>
          <w:rFonts w:asciiTheme="majorBidi" w:hAnsiTheme="majorBidi" w:cstheme="majorBidi"/>
          <w:color w:val="000000"/>
          <w:szCs w:val="22"/>
          <w:u w:color="FFFFFF"/>
        </w:rPr>
        <w:t>eerder</w:t>
      </w:r>
      <w:r w:rsidR="00E25F2C" w:rsidRPr="00D21D8C">
        <w:rPr>
          <w:rFonts w:asciiTheme="majorBidi" w:hAnsiTheme="majorBidi" w:cstheme="majorBidi"/>
          <w:color w:val="000000"/>
          <w:szCs w:val="22"/>
          <w:u w:color="FFFFFF"/>
        </w:rPr>
        <w:t>e</w:t>
      </w:r>
      <w:r w:rsidRPr="00D21D8C">
        <w:rPr>
          <w:rFonts w:asciiTheme="majorBidi" w:hAnsiTheme="majorBidi" w:cstheme="majorBidi"/>
          <w:color w:val="000000"/>
          <w:szCs w:val="22"/>
          <w:u w:color="FFFFFF"/>
        </w:rPr>
        <w:t xml:space="preserve"> </w:t>
      </w:r>
      <w:r w:rsidR="00F102D9" w:rsidRPr="00D21D8C">
        <w:rPr>
          <w:rFonts w:asciiTheme="majorBidi" w:hAnsiTheme="majorBidi" w:cstheme="majorBidi"/>
          <w:color w:val="000000"/>
          <w:szCs w:val="22"/>
          <w:u w:color="FFFFFF"/>
        </w:rPr>
        <w:t xml:space="preserve">behandeling met </w:t>
      </w:r>
      <w:r w:rsidRPr="00D21D8C">
        <w:rPr>
          <w:rFonts w:asciiTheme="majorBidi" w:hAnsiTheme="majorBidi" w:cstheme="majorBidi"/>
          <w:color w:val="000000"/>
          <w:szCs w:val="22"/>
          <w:u w:color="FFFFFF"/>
        </w:rPr>
        <w:t xml:space="preserve">chimere </w:t>
      </w:r>
      <w:r w:rsidR="004962F1" w:rsidRPr="00D21D8C">
        <w:rPr>
          <w:rFonts w:asciiTheme="majorBidi" w:hAnsiTheme="majorBidi" w:cstheme="majorBidi"/>
          <w:color w:val="000000"/>
          <w:szCs w:val="22"/>
          <w:u w:color="FFFFFF"/>
        </w:rPr>
        <w:t>antigeen</w:t>
      </w:r>
      <w:r w:rsidRPr="00D21D8C">
        <w:rPr>
          <w:rFonts w:asciiTheme="majorBidi" w:hAnsiTheme="majorBidi" w:cstheme="majorBidi"/>
          <w:color w:val="000000"/>
          <w:szCs w:val="22"/>
          <w:u w:color="FFFFFF"/>
        </w:rPr>
        <w:t>receptor-gemodificeerde T-cellen (CAR</w:t>
      </w:r>
      <w:r w:rsidR="00F102D9" w:rsidRPr="00D21D8C">
        <w:rPr>
          <w:rFonts w:asciiTheme="majorBidi" w:hAnsiTheme="majorBidi" w:cstheme="majorBidi"/>
          <w:color w:val="000000"/>
          <w:szCs w:val="22"/>
          <w:u w:color="FFFFFF"/>
        </w:rPr>
        <w:t>-</w:t>
      </w:r>
      <w:r w:rsidRPr="00D21D8C">
        <w:rPr>
          <w:rFonts w:asciiTheme="majorBidi" w:hAnsiTheme="majorBidi" w:cstheme="majorBidi"/>
          <w:color w:val="000000"/>
          <w:szCs w:val="22"/>
          <w:u w:color="FFFFFF"/>
        </w:rPr>
        <w:t>T-</w:t>
      </w:r>
      <w:r w:rsidR="00F102D9" w:rsidRPr="00D21D8C">
        <w:rPr>
          <w:rFonts w:asciiTheme="majorBidi" w:hAnsiTheme="majorBidi" w:cstheme="majorBidi"/>
          <w:color w:val="000000"/>
          <w:szCs w:val="22"/>
          <w:u w:color="FFFFFF"/>
        </w:rPr>
        <w:t>cel</w:t>
      </w:r>
      <w:r w:rsidRPr="00D21D8C">
        <w:rPr>
          <w:rFonts w:asciiTheme="majorBidi" w:hAnsiTheme="majorBidi" w:cstheme="majorBidi"/>
          <w:color w:val="000000"/>
          <w:szCs w:val="22"/>
          <w:u w:color="FFFFFF"/>
        </w:rPr>
        <w:t>therapie</w:t>
      </w:r>
      <w:r w:rsidR="00F102D9" w:rsidRPr="00D21D8C">
        <w:rPr>
          <w:rFonts w:asciiTheme="majorBidi" w:hAnsiTheme="majorBidi" w:cstheme="majorBidi"/>
          <w:color w:val="000000"/>
          <w:szCs w:val="22"/>
          <w:u w:color="FFFFFF"/>
        </w:rPr>
        <w:t>)</w:t>
      </w:r>
      <w:r w:rsidRPr="00D21D8C">
        <w:rPr>
          <w:rFonts w:asciiTheme="majorBidi" w:hAnsiTheme="majorBidi" w:cstheme="majorBidi"/>
          <w:color w:val="000000"/>
          <w:szCs w:val="22"/>
          <w:u w:color="FFFFFF"/>
        </w:rPr>
        <w:t xml:space="preserve">. 38,9% van de patiënten had extranodale betrokkenheid en 26,7% had een tumormassa groter dan of gelijk aan 5 cm. De vereenvoudigde </w:t>
      </w:r>
      <w:r w:rsidRPr="00D21D8C">
        <w:rPr>
          <w:rFonts w:asciiTheme="majorBidi" w:hAnsiTheme="majorBidi" w:cstheme="majorBidi"/>
          <w:i/>
          <w:iCs/>
          <w:color w:val="000000"/>
          <w:szCs w:val="22"/>
          <w:u w:color="FFFFFF"/>
        </w:rPr>
        <w:t>MCL</w:t>
      </w:r>
      <w:r w:rsidRPr="00D21D8C">
        <w:rPr>
          <w:rFonts w:asciiTheme="majorBidi" w:hAnsiTheme="majorBidi" w:cstheme="majorBidi"/>
          <w:color w:val="000000"/>
          <w:szCs w:val="22"/>
          <w:u w:color="FFFFFF"/>
        </w:rPr>
        <w:t xml:space="preserve"> </w:t>
      </w:r>
      <w:r w:rsidRPr="00D21D8C">
        <w:rPr>
          <w:rFonts w:asciiTheme="majorBidi" w:hAnsiTheme="majorBidi" w:cstheme="majorBidi"/>
          <w:i/>
          <w:iCs/>
          <w:color w:val="000000"/>
          <w:szCs w:val="22"/>
          <w:u w:color="FFFFFF"/>
        </w:rPr>
        <w:t>Internationale Prognostische Index</w:t>
      </w:r>
      <w:r w:rsidRPr="00D21D8C">
        <w:rPr>
          <w:rFonts w:asciiTheme="majorBidi" w:hAnsiTheme="majorBidi" w:cstheme="majorBidi"/>
          <w:color w:val="000000"/>
          <w:szCs w:val="22"/>
          <w:u w:color="FFFFFF"/>
        </w:rPr>
        <w:t xml:space="preserve"> (sMIPI)-score was laag bij 22,2%, </w:t>
      </w:r>
      <w:r w:rsidR="008A05CC" w:rsidRPr="00D21D8C">
        <w:rPr>
          <w:rFonts w:asciiTheme="majorBidi" w:hAnsiTheme="majorBidi" w:cstheme="majorBidi"/>
          <w:color w:val="000000"/>
          <w:szCs w:val="22"/>
          <w:u w:color="FFFFFF"/>
        </w:rPr>
        <w:t xml:space="preserve">intermediair </w:t>
      </w:r>
      <w:r w:rsidRPr="00D21D8C">
        <w:rPr>
          <w:rFonts w:asciiTheme="majorBidi" w:hAnsiTheme="majorBidi" w:cstheme="majorBidi"/>
          <w:color w:val="000000"/>
          <w:szCs w:val="22"/>
          <w:u w:color="FFFFFF"/>
        </w:rPr>
        <w:t xml:space="preserve">bij 55,6% en hoog bij 22,2% van de patiënten. </w:t>
      </w:r>
    </w:p>
    <w:p w14:paraId="78D59E94" w14:textId="77777777" w:rsidR="001A274F" w:rsidRPr="00D21D8C" w:rsidRDefault="001A274F">
      <w:pPr>
        <w:spacing w:line="240" w:lineRule="auto"/>
        <w:rPr>
          <w:rFonts w:asciiTheme="majorBidi" w:hAnsiTheme="majorBidi" w:cstheme="majorBidi"/>
          <w:szCs w:val="22"/>
        </w:rPr>
      </w:pPr>
    </w:p>
    <w:p w14:paraId="4E47BAEF" w14:textId="01AD03A6" w:rsidR="00241098" w:rsidRPr="00D21D8C" w:rsidRDefault="00241098">
      <w:pPr>
        <w:spacing w:line="240" w:lineRule="auto"/>
        <w:rPr>
          <w:rFonts w:asciiTheme="majorBidi" w:hAnsiTheme="majorBidi" w:cstheme="majorBidi"/>
          <w:color w:val="000000"/>
          <w:szCs w:val="22"/>
          <w:u w:color="FFFFFF"/>
        </w:rPr>
      </w:pPr>
      <w:r w:rsidRPr="00D21D8C">
        <w:rPr>
          <w:rFonts w:asciiTheme="majorBidi" w:hAnsiTheme="majorBidi" w:cstheme="majorBidi"/>
          <w:color w:val="000000"/>
          <w:szCs w:val="22"/>
          <w:u w:color="FFFFFF"/>
        </w:rPr>
        <w:t>Van de 164 patiënten met MCL die deelnamen aan onderzoek 18001, ondergingen 9 patiënten een dosisverlaging, waaronder 6 </w:t>
      </w:r>
      <w:r w:rsidR="008A05CC" w:rsidRPr="00D21D8C">
        <w:rPr>
          <w:rFonts w:asciiTheme="majorBidi" w:hAnsiTheme="majorBidi" w:cstheme="majorBidi"/>
          <w:color w:val="000000"/>
          <w:szCs w:val="22"/>
          <w:u w:color="FFFFFF"/>
        </w:rPr>
        <w:t xml:space="preserve">responders </w:t>
      </w:r>
      <w:r w:rsidRPr="00D21D8C">
        <w:rPr>
          <w:rFonts w:asciiTheme="majorBidi" w:hAnsiTheme="majorBidi" w:cstheme="majorBidi"/>
          <w:color w:val="000000"/>
          <w:szCs w:val="22"/>
          <w:u w:color="FFFFFF"/>
        </w:rPr>
        <w:t>die op therapie konden blijven en een duurzame respons konden behouden na dosisverlagingen tot 150 mg eenmaal daags (3), 100 mg eenmaal daags (2) en 50 mg eenmaal daags (1).</w:t>
      </w:r>
    </w:p>
    <w:p w14:paraId="0426BCBD" w14:textId="77777777" w:rsidR="00241098" w:rsidRPr="00D21D8C" w:rsidRDefault="00241098">
      <w:pPr>
        <w:spacing w:line="240" w:lineRule="auto"/>
        <w:rPr>
          <w:rFonts w:asciiTheme="majorBidi" w:hAnsiTheme="majorBidi" w:cstheme="majorBidi"/>
          <w:color w:val="000000"/>
          <w:szCs w:val="22"/>
          <w:u w:color="FFFFFF"/>
        </w:rPr>
      </w:pPr>
    </w:p>
    <w:p w14:paraId="68F2BCB1" w14:textId="5310BF15" w:rsidR="00241098" w:rsidRPr="00D21D8C" w:rsidRDefault="00DA418A" w:rsidP="00241098">
      <w:pPr>
        <w:rPr>
          <w:rFonts w:asciiTheme="majorBidi" w:hAnsiTheme="majorBidi" w:cstheme="majorBidi"/>
          <w:color w:val="000000"/>
          <w:szCs w:val="22"/>
          <w:u w:color="FFFFFF"/>
        </w:rPr>
      </w:pPr>
      <w:r w:rsidRPr="00D21D8C">
        <w:rPr>
          <w:rFonts w:asciiTheme="majorBidi" w:hAnsiTheme="majorBidi" w:cstheme="majorBidi"/>
          <w:color w:val="000000"/>
          <w:szCs w:val="22"/>
          <w:u w:color="FFFFFF"/>
        </w:rPr>
        <w:t xml:space="preserve">De werkzaamheid van Jaypirca was gebaseerd op een respons beoordeeld aan de hand van de Lugano-criteria </w:t>
      </w:r>
      <w:r w:rsidR="00C80A86" w:rsidRPr="00D21D8C">
        <w:rPr>
          <w:rFonts w:asciiTheme="majorBidi" w:hAnsiTheme="majorBidi" w:cstheme="majorBidi"/>
          <w:color w:val="000000"/>
          <w:szCs w:val="22"/>
          <w:u w:color="FFFFFF"/>
        </w:rPr>
        <w:t xml:space="preserve">uit 2014 </w:t>
      </w:r>
      <w:r w:rsidRPr="00D21D8C">
        <w:rPr>
          <w:rFonts w:asciiTheme="majorBidi" w:hAnsiTheme="majorBidi" w:cstheme="majorBidi"/>
          <w:color w:val="000000"/>
          <w:szCs w:val="22"/>
          <w:u w:color="FFFFFF"/>
        </w:rPr>
        <w:t xml:space="preserve">voor maligne lymfoom. Werkzaamheidsresultaten voor patiënten die </w:t>
      </w:r>
      <w:r w:rsidR="00EF2D02" w:rsidRPr="00D21D8C">
        <w:rPr>
          <w:rFonts w:asciiTheme="majorBidi" w:hAnsiTheme="majorBidi" w:cstheme="majorBidi"/>
          <w:color w:val="000000"/>
          <w:szCs w:val="22"/>
          <w:u w:color="FFFFFF"/>
        </w:rPr>
        <w:t xml:space="preserve">ten minste </w:t>
      </w:r>
      <w:r w:rsidRPr="00D21D8C">
        <w:rPr>
          <w:rFonts w:asciiTheme="majorBidi" w:hAnsiTheme="majorBidi" w:cstheme="majorBidi"/>
          <w:color w:val="000000"/>
          <w:szCs w:val="22"/>
          <w:u w:color="FFFFFF"/>
        </w:rPr>
        <w:t xml:space="preserve">één eerdere BTK-remmer kregen en waren </w:t>
      </w:r>
      <w:r w:rsidR="008A05CC" w:rsidRPr="00D21D8C">
        <w:rPr>
          <w:rFonts w:asciiTheme="majorBidi" w:hAnsiTheme="majorBidi" w:cstheme="majorBidi"/>
          <w:color w:val="000000"/>
          <w:szCs w:val="22"/>
          <w:u w:color="FFFFFF"/>
        </w:rPr>
        <w:t xml:space="preserve">geïncludeerd </w:t>
      </w:r>
      <w:r w:rsidRPr="00D21D8C">
        <w:rPr>
          <w:rFonts w:asciiTheme="majorBidi" w:hAnsiTheme="majorBidi" w:cstheme="majorBidi"/>
          <w:color w:val="000000"/>
          <w:szCs w:val="22"/>
          <w:u w:color="FFFFFF"/>
        </w:rPr>
        <w:t>in de PAS zijn samengevat in tabel </w:t>
      </w:r>
      <w:r w:rsidR="00241098" w:rsidRPr="00D21D8C">
        <w:rPr>
          <w:rFonts w:asciiTheme="majorBidi" w:hAnsiTheme="majorBidi" w:cstheme="majorBidi"/>
          <w:color w:val="000000"/>
          <w:szCs w:val="22"/>
          <w:u w:color="FFFFFF"/>
        </w:rPr>
        <w:t>2</w:t>
      </w:r>
      <w:r w:rsidRPr="00D21D8C">
        <w:rPr>
          <w:rFonts w:asciiTheme="majorBidi" w:hAnsiTheme="majorBidi" w:cstheme="majorBidi"/>
          <w:color w:val="000000"/>
          <w:szCs w:val="22"/>
          <w:u w:color="FFFFFF"/>
        </w:rPr>
        <w:t>. V</w:t>
      </w:r>
      <w:r w:rsidR="00241098" w:rsidRPr="00D21D8C">
        <w:rPr>
          <w:rFonts w:asciiTheme="majorBidi" w:hAnsiTheme="majorBidi" w:cstheme="majorBidi"/>
          <w:color w:val="000000"/>
          <w:szCs w:val="22"/>
          <w:u w:color="FFFFFF"/>
        </w:rPr>
        <w:t>an</w:t>
      </w:r>
      <w:r w:rsidRPr="00D21D8C">
        <w:rPr>
          <w:rFonts w:asciiTheme="majorBidi" w:hAnsiTheme="majorBidi" w:cstheme="majorBidi"/>
          <w:color w:val="000000"/>
          <w:szCs w:val="22"/>
          <w:u w:color="FFFFFF"/>
        </w:rPr>
        <w:t xml:space="preserve"> de 90 patiënten in de PAS </w:t>
      </w:r>
      <w:r w:rsidR="00241098" w:rsidRPr="00D21D8C">
        <w:rPr>
          <w:rFonts w:asciiTheme="majorBidi" w:hAnsiTheme="majorBidi" w:cstheme="majorBidi"/>
          <w:color w:val="000000"/>
          <w:szCs w:val="22"/>
          <w:u w:color="FFFFFF"/>
        </w:rPr>
        <w:t>kregen 79 ten minste 1 dosis van 200 mg eenmaal daags. Van deze 79 patiënten begonnen er 77 met 200 mg eenmaal daags, 1 dosis verhoogd vanaf een lagere dosis en 1 dosis verlaagd vanaf een hogere dosis. D</w:t>
      </w:r>
      <w:r w:rsidRPr="00D21D8C">
        <w:rPr>
          <w:rFonts w:asciiTheme="majorBidi" w:hAnsiTheme="majorBidi" w:cstheme="majorBidi"/>
          <w:color w:val="000000"/>
          <w:szCs w:val="22"/>
          <w:u w:color="FFFFFF"/>
        </w:rPr>
        <w:t xml:space="preserve">e mediane behandelingsduur </w:t>
      </w:r>
      <w:r w:rsidR="00241098" w:rsidRPr="00D21D8C">
        <w:rPr>
          <w:rFonts w:asciiTheme="majorBidi" w:hAnsiTheme="majorBidi" w:cstheme="majorBidi"/>
          <w:color w:val="000000"/>
          <w:szCs w:val="22"/>
          <w:u w:color="FFFFFF"/>
        </w:rPr>
        <w:t xml:space="preserve">was </w:t>
      </w:r>
      <w:r w:rsidRPr="00D21D8C">
        <w:rPr>
          <w:rFonts w:asciiTheme="majorBidi" w:hAnsiTheme="majorBidi" w:cstheme="majorBidi"/>
          <w:color w:val="000000"/>
          <w:szCs w:val="22"/>
          <w:u w:color="FFFFFF"/>
        </w:rPr>
        <w:t>5,24 maanden (bereik:</w:t>
      </w:r>
      <w:r w:rsidR="00C80A86"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0,2</w:t>
      </w:r>
      <w:r w:rsidR="00C80A86"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tot</w:t>
      </w:r>
      <w:r w:rsidR="00C80A86" w:rsidRPr="00D21D8C">
        <w:rPr>
          <w:rFonts w:asciiTheme="majorBidi" w:hAnsiTheme="majorBidi" w:cstheme="majorBidi"/>
          <w:color w:val="000000"/>
          <w:szCs w:val="22"/>
          <w:u w:color="FFFFFF"/>
        </w:rPr>
        <w:t> </w:t>
      </w:r>
      <w:r w:rsidR="00241098" w:rsidRPr="00D21D8C">
        <w:rPr>
          <w:rFonts w:asciiTheme="majorBidi" w:hAnsiTheme="majorBidi" w:cstheme="majorBidi"/>
          <w:color w:val="000000"/>
          <w:szCs w:val="22"/>
          <w:u w:color="FFFFFF"/>
        </w:rPr>
        <w:t>39,6</w:t>
      </w:r>
      <w:r w:rsidRPr="00D21D8C">
        <w:rPr>
          <w:rFonts w:asciiTheme="majorBidi" w:hAnsiTheme="majorBidi" w:cstheme="majorBidi"/>
          <w:color w:val="000000"/>
          <w:szCs w:val="22"/>
          <w:u w:color="FFFFFF"/>
        </w:rPr>
        <w:t xml:space="preserve"> maanden). Onder de </w:t>
      </w:r>
      <w:r w:rsidR="00241098" w:rsidRPr="00D21D8C">
        <w:rPr>
          <w:rFonts w:asciiTheme="majorBidi" w:hAnsiTheme="majorBidi" w:cstheme="majorBidi"/>
          <w:color w:val="000000"/>
          <w:szCs w:val="22"/>
          <w:u w:color="FFFFFF"/>
        </w:rPr>
        <w:t>51</w:t>
      </w:r>
      <w:r w:rsidRPr="00D21D8C">
        <w:rPr>
          <w:rFonts w:asciiTheme="majorBidi" w:hAnsiTheme="majorBidi" w:cstheme="majorBidi"/>
          <w:color w:val="000000"/>
          <w:szCs w:val="22"/>
          <w:u w:color="FFFFFF"/>
        </w:rPr>
        <w:t> responde</w:t>
      </w:r>
      <w:r w:rsidR="008A05CC" w:rsidRPr="00D21D8C">
        <w:rPr>
          <w:rFonts w:asciiTheme="majorBidi" w:hAnsiTheme="majorBidi" w:cstheme="majorBidi"/>
          <w:color w:val="000000"/>
          <w:szCs w:val="22"/>
          <w:u w:color="FFFFFF"/>
        </w:rPr>
        <w:t>rs</w:t>
      </w:r>
      <w:r w:rsidRPr="00D21D8C">
        <w:rPr>
          <w:rFonts w:asciiTheme="majorBidi" w:hAnsiTheme="majorBidi" w:cstheme="majorBidi"/>
          <w:color w:val="000000"/>
          <w:szCs w:val="22"/>
          <w:u w:color="FFFFFF"/>
        </w:rPr>
        <w:t xml:space="preserve"> was de mediane tijd tot respons 1,84 maanden (bereik: 1,0 tot 7,5 maanden). </w:t>
      </w:r>
    </w:p>
    <w:p w14:paraId="4A424CF9" w14:textId="77777777" w:rsidR="00241098" w:rsidRPr="00D21D8C" w:rsidRDefault="00241098" w:rsidP="00241098">
      <w:pPr>
        <w:rPr>
          <w:rFonts w:asciiTheme="majorBidi" w:hAnsiTheme="majorBidi" w:cstheme="majorBidi"/>
          <w:color w:val="000000"/>
          <w:szCs w:val="22"/>
          <w:u w:color="FFFFFF"/>
        </w:rPr>
      </w:pPr>
    </w:p>
    <w:p w14:paraId="36317A1E" w14:textId="174196C9" w:rsidR="001A274F" w:rsidRPr="00D21D8C" w:rsidRDefault="00DA418A" w:rsidP="00D577FE">
      <w:pPr>
        <w:rPr>
          <w:rFonts w:asciiTheme="majorBidi" w:hAnsiTheme="majorBidi" w:cstheme="majorBidi"/>
          <w:szCs w:val="22"/>
        </w:rPr>
      </w:pPr>
      <w:r w:rsidRPr="00D21D8C">
        <w:rPr>
          <w:rFonts w:asciiTheme="majorBidi" w:hAnsiTheme="majorBidi" w:cstheme="majorBidi"/>
          <w:color w:val="000000"/>
          <w:szCs w:val="22"/>
          <w:u w:color="FFFFFF"/>
        </w:rPr>
        <w:t xml:space="preserve">Hoewel subgroepanalyses een beperkt aantal patiënten weergeven, werden klinisch </w:t>
      </w:r>
      <w:r w:rsidR="0079685D" w:rsidRPr="00D21D8C">
        <w:rPr>
          <w:rFonts w:asciiTheme="majorBidi" w:hAnsiTheme="majorBidi" w:cstheme="majorBidi"/>
          <w:color w:val="000000"/>
          <w:szCs w:val="22"/>
          <w:u w:color="FFFFFF"/>
        </w:rPr>
        <w:t>relevante</w:t>
      </w:r>
      <w:r w:rsidR="00EF2D02" w:rsidRPr="00D21D8C">
        <w:rPr>
          <w:rFonts w:asciiTheme="majorBidi" w:hAnsiTheme="majorBidi" w:cstheme="majorBidi"/>
          <w:color w:val="000000"/>
          <w:szCs w:val="22"/>
          <w:u w:color="FFFFFF"/>
        </w:rPr>
        <w:t xml:space="preserve"> </w:t>
      </w:r>
      <w:r w:rsidRPr="00D21D8C">
        <w:rPr>
          <w:rFonts w:asciiTheme="majorBidi" w:hAnsiTheme="majorBidi" w:cstheme="majorBidi"/>
          <w:color w:val="000000"/>
          <w:szCs w:val="22"/>
          <w:u w:color="FFFFFF"/>
        </w:rPr>
        <w:t xml:space="preserve">werkzaamheidsresultaten waargenomen </w:t>
      </w:r>
      <w:r w:rsidR="00EF2D02" w:rsidRPr="00D21D8C">
        <w:rPr>
          <w:rFonts w:asciiTheme="majorBidi" w:hAnsiTheme="majorBidi" w:cstheme="majorBidi"/>
          <w:color w:val="000000"/>
          <w:szCs w:val="22"/>
          <w:u w:color="FFFFFF"/>
        </w:rPr>
        <w:t xml:space="preserve">in </w:t>
      </w:r>
      <w:r w:rsidRPr="00D21D8C">
        <w:rPr>
          <w:rFonts w:asciiTheme="majorBidi" w:hAnsiTheme="majorBidi" w:cstheme="majorBidi"/>
          <w:color w:val="000000"/>
          <w:szCs w:val="22"/>
          <w:u w:color="FFFFFF"/>
        </w:rPr>
        <w:t>belangrijke subgroepen, waaronder patiënten die eerder</w:t>
      </w:r>
      <w:r w:rsidR="00EF2D02" w:rsidRPr="00D21D8C">
        <w:rPr>
          <w:rFonts w:asciiTheme="majorBidi" w:hAnsiTheme="majorBidi" w:cstheme="majorBidi"/>
          <w:color w:val="000000"/>
          <w:szCs w:val="22"/>
          <w:u w:color="FFFFFF"/>
        </w:rPr>
        <w:t xml:space="preserve">e behandeling met </w:t>
      </w:r>
      <w:r w:rsidRPr="00D21D8C">
        <w:rPr>
          <w:rFonts w:asciiTheme="majorBidi" w:hAnsiTheme="majorBidi" w:cstheme="majorBidi"/>
          <w:color w:val="000000"/>
          <w:szCs w:val="22"/>
          <w:u w:color="FFFFFF"/>
        </w:rPr>
        <w:t>BTK-remmer</w:t>
      </w:r>
      <w:r w:rsidR="00EF2D02" w:rsidRPr="00D21D8C">
        <w:rPr>
          <w:rFonts w:asciiTheme="majorBidi" w:hAnsiTheme="majorBidi" w:cstheme="majorBidi"/>
          <w:color w:val="000000"/>
          <w:szCs w:val="22"/>
          <w:u w:color="FFFFFF"/>
        </w:rPr>
        <w:t xml:space="preserve">s </w:t>
      </w:r>
      <w:r w:rsidR="001E3DB6" w:rsidRPr="00D21D8C">
        <w:rPr>
          <w:rFonts w:asciiTheme="majorBidi" w:hAnsiTheme="majorBidi" w:cstheme="majorBidi"/>
          <w:color w:val="000000"/>
          <w:szCs w:val="22"/>
          <w:u w:color="FFFFFF"/>
        </w:rPr>
        <w:t xml:space="preserve">hadden </w:t>
      </w:r>
      <w:r w:rsidR="00EF2D02" w:rsidRPr="00D21D8C">
        <w:rPr>
          <w:rFonts w:asciiTheme="majorBidi" w:hAnsiTheme="majorBidi" w:cstheme="majorBidi"/>
          <w:color w:val="000000"/>
          <w:szCs w:val="22"/>
          <w:u w:color="FFFFFF"/>
        </w:rPr>
        <w:t>stop</w:t>
      </w:r>
      <w:r w:rsidR="00F0637A" w:rsidRPr="00D21D8C">
        <w:rPr>
          <w:rFonts w:asciiTheme="majorBidi" w:hAnsiTheme="majorBidi" w:cstheme="majorBidi"/>
          <w:color w:val="000000"/>
          <w:szCs w:val="22"/>
          <w:u w:color="FFFFFF"/>
        </w:rPr>
        <w:t>ge</w:t>
      </w:r>
      <w:r w:rsidR="00EF2D02" w:rsidRPr="00D21D8C">
        <w:rPr>
          <w:rFonts w:asciiTheme="majorBidi" w:hAnsiTheme="majorBidi" w:cstheme="majorBidi"/>
          <w:color w:val="000000"/>
          <w:szCs w:val="22"/>
          <w:u w:color="FFFFFF"/>
        </w:rPr>
        <w:t>zet</w:t>
      </w:r>
      <w:r w:rsidR="007B5425" w:rsidRPr="00D21D8C">
        <w:rPr>
          <w:rFonts w:asciiTheme="majorBidi" w:hAnsiTheme="majorBidi" w:cstheme="majorBidi"/>
          <w:color w:val="000000"/>
          <w:szCs w:val="22"/>
          <w:u w:color="FFFFFF"/>
        </w:rPr>
        <w:t xml:space="preserve"> </w:t>
      </w:r>
      <w:r w:rsidR="00EF2D02" w:rsidRPr="00D21D8C">
        <w:rPr>
          <w:rFonts w:asciiTheme="majorBidi" w:hAnsiTheme="majorBidi" w:cstheme="majorBidi"/>
          <w:color w:val="000000"/>
          <w:szCs w:val="22"/>
          <w:u w:color="FFFFFF"/>
        </w:rPr>
        <w:t>vanwege</w:t>
      </w:r>
      <w:r w:rsidRPr="00D21D8C">
        <w:rPr>
          <w:rFonts w:asciiTheme="majorBidi" w:hAnsiTheme="majorBidi" w:cstheme="majorBidi"/>
          <w:color w:val="000000"/>
          <w:szCs w:val="22"/>
          <w:u w:color="FFFFFF"/>
        </w:rPr>
        <w:t xml:space="preserve"> intolerantie of progressie en ongeacht het aantal en type </w:t>
      </w:r>
      <w:r w:rsidR="00E70659" w:rsidRPr="00D21D8C">
        <w:rPr>
          <w:rFonts w:asciiTheme="majorBidi" w:hAnsiTheme="majorBidi" w:cstheme="majorBidi"/>
          <w:color w:val="000000"/>
          <w:szCs w:val="22"/>
          <w:u w:color="FFFFFF"/>
        </w:rPr>
        <w:t xml:space="preserve">van </w:t>
      </w:r>
      <w:r w:rsidRPr="00D21D8C">
        <w:rPr>
          <w:rFonts w:asciiTheme="majorBidi" w:hAnsiTheme="majorBidi" w:cstheme="majorBidi"/>
          <w:color w:val="000000"/>
          <w:szCs w:val="22"/>
          <w:u w:color="FFFFFF"/>
        </w:rPr>
        <w:t>eerdere behandelingen.</w:t>
      </w:r>
    </w:p>
    <w:p w14:paraId="2326AF89" w14:textId="77777777" w:rsidR="001A274F" w:rsidRPr="00D21D8C" w:rsidRDefault="001A274F">
      <w:pPr>
        <w:spacing w:line="240" w:lineRule="auto"/>
        <w:rPr>
          <w:rFonts w:asciiTheme="majorBidi" w:hAnsiTheme="majorBidi" w:cstheme="majorBidi"/>
          <w:szCs w:val="22"/>
        </w:rPr>
      </w:pPr>
    </w:p>
    <w:p w14:paraId="1E28DE0F" w14:textId="58FF22A3" w:rsidR="001A274F" w:rsidRPr="00D21D8C" w:rsidRDefault="00DA418A">
      <w:pPr>
        <w:pStyle w:val="PLRHeading2"/>
        <w:keepNext/>
        <w:rPr>
          <w:rFonts w:asciiTheme="majorBidi" w:hAnsiTheme="majorBidi" w:cstheme="majorBidi"/>
          <w:bCs/>
          <w:sz w:val="22"/>
          <w:szCs w:val="22"/>
          <w:lang w:val="nl-NL"/>
        </w:rPr>
      </w:pPr>
      <w:r w:rsidRPr="00D21D8C">
        <w:rPr>
          <w:rFonts w:asciiTheme="majorBidi" w:hAnsiTheme="majorBidi" w:cstheme="majorBidi"/>
          <w:bCs/>
          <w:color w:val="000000"/>
          <w:sz w:val="22"/>
          <w:szCs w:val="22"/>
          <w:u w:color="FFFFFF"/>
          <w:lang w:val="nl-NL"/>
        </w:rPr>
        <w:t>Tabel</w:t>
      </w:r>
      <w:r w:rsidR="00C9072B" w:rsidRPr="00D21D8C">
        <w:rPr>
          <w:rFonts w:asciiTheme="majorBidi" w:hAnsiTheme="majorBidi" w:cstheme="majorBidi"/>
          <w:bCs/>
          <w:color w:val="000000"/>
          <w:sz w:val="22"/>
          <w:szCs w:val="22"/>
          <w:u w:color="FFFFFF"/>
          <w:lang w:val="nl-NL"/>
        </w:rPr>
        <w:t> </w:t>
      </w:r>
      <w:r w:rsidR="00241098" w:rsidRPr="00D21D8C">
        <w:rPr>
          <w:rFonts w:asciiTheme="majorBidi" w:hAnsiTheme="majorBidi" w:cstheme="majorBidi"/>
          <w:bCs/>
          <w:color w:val="000000"/>
          <w:sz w:val="22"/>
          <w:szCs w:val="22"/>
          <w:u w:color="FFFFFF"/>
          <w:lang w:val="nl-NL"/>
        </w:rPr>
        <w:t>2</w:t>
      </w:r>
      <w:r w:rsidRPr="00D21D8C">
        <w:rPr>
          <w:rFonts w:asciiTheme="majorBidi" w:hAnsiTheme="majorBidi" w:cstheme="majorBidi"/>
          <w:bCs/>
          <w:color w:val="000000"/>
          <w:sz w:val="22"/>
          <w:szCs w:val="22"/>
          <w:u w:color="FFFFFF"/>
          <w:lang w:val="nl-NL"/>
        </w:rPr>
        <w:t>: Samenvatting van werkzaamheidsgegevens in onderzoek</w:t>
      </w:r>
      <w:r w:rsidR="00917236" w:rsidRPr="00D21D8C">
        <w:rPr>
          <w:rFonts w:asciiTheme="majorBidi" w:hAnsiTheme="majorBidi" w:cstheme="majorBidi"/>
          <w:bCs/>
          <w:color w:val="000000"/>
          <w:sz w:val="22"/>
          <w:szCs w:val="22"/>
          <w:u w:color="FFFFFF"/>
          <w:lang w:val="nl-NL"/>
        </w:rPr>
        <w:t> </w:t>
      </w:r>
      <w:r w:rsidRPr="00D21D8C">
        <w:rPr>
          <w:rFonts w:asciiTheme="majorBidi" w:hAnsiTheme="majorBidi" w:cstheme="majorBidi"/>
          <w:bCs/>
          <w:color w:val="000000"/>
          <w:sz w:val="22"/>
          <w:szCs w:val="22"/>
          <w:u w:color="FFFFFF"/>
          <w:lang w:val="nl-NL"/>
        </w:rPr>
        <w:t xml:space="preserve">18001 voor MCL-patiënten </w:t>
      </w:r>
      <w:r w:rsidR="007620A8" w:rsidRPr="00D21D8C">
        <w:rPr>
          <w:rFonts w:asciiTheme="majorBidi" w:hAnsiTheme="majorBidi" w:cstheme="majorBidi"/>
          <w:bCs/>
          <w:color w:val="000000"/>
          <w:sz w:val="22"/>
          <w:szCs w:val="22"/>
          <w:u w:color="FFFFFF"/>
          <w:lang w:val="nl-NL"/>
        </w:rPr>
        <w:t>die ten minste</w:t>
      </w:r>
      <w:r w:rsidRPr="00D21D8C">
        <w:rPr>
          <w:rFonts w:asciiTheme="majorBidi" w:hAnsiTheme="majorBidi" w:cstheme="majorBidi"/>
          <w:bCs/>
          <w:color w:val="000000"/>
          <w:sz w:val="22"/>
          <w:szCs w:val="22"/>
          <w:u w:color="FFFFFF"/>
          <w:lang w:val="nl-NL"/>
        </w:rPr>
        <w:t xml:space="preserve"> één eerdere BTK-remmer</w:t>
      </w:r>
      <w:r w:rsidR="007620A8" w:rsidRPr="00D21D8C">
        <w:rPr>
          <w:rFonts w:asciiTheme="majorBidi" w:hAnsiTheme="majorBidi" w:cstheme="majorBidi"/>
          <w:bCs/>
          <w:color w:val="000000"/>
          <w:sz w:val="22"/>
          <w:szCs w:val="22"/>
          <w:u w:color="FFFFFF"/>
          <w:lang w:val="nl-NL"/>
        </w:rPr>
        <w:t xml:space="preserve"> hebben gekregen</w:t>
      </w:r>
    </w:p>
    <w:p w14:paraId="20DB9D46" w14:textId="77777777" w:rsidR="001A274F" w:rsidRPr="00D21D8C" w:rsidRDefault="001A274F">
      <w:pPr>
        <w:pStyle w:val="PLRBodyTextIndented"/>
        <w:keepNext/>
        <w:rPr>
          <w:rFonts w:asciiTheme="majorBidi" w:hAnsiTheme="majorBidi" w:cstheme="majorBidi"/>
          <w:szCs w:val="22"/>
          <w:lang w:val="nl-NL"/>
        </w:rPr>
      </w:pPr>
    </w:p>
    <w:tbl>
      <w:tblPr>
        <w:tblW w:w="9195" w:type="dxa"/>
        <w:jc w:val="center"/>
        <w:tblCellMar>
          <w:left w:w="115" w:type="dxa"/>
          <w:right w:w="115" w:type="dxa"/>
        </w:tblCellMar>
        <w:tblLook w:val="04A0" w:firstRow="1" w:lastRow="0" w:firstColumn="1" w:lastColumn="0" w:noHBand="0" w:noVBand="1"/>
      </w:tblPr>
      <w:tblGrid>
        <w:gridCol w:w="5382"/>
        <w:gridCol w:w="3813"/>
      </w:tblGrid>
      <w:tr w:rsidR="001A274F" w:rsidRPr="00D21D8C" w14:paraId="1AB44EBE" w14:textId="77777777">
        <w:trPr>
          <w:jc w:val="center"/>
        </w:trPr>
        <w:tc>
          <w:tcPr>
            <w:tcW w:w="5381" w:type="dxa"/>
            <w:tcBorders>
              <w:top w:val="single" w:sz="4" w:space="0" w:color="000000"/>
              <w:left w:val="single" w:sz="4" w:space="0" w:color="000000"/>
              <w:bottom w:val="single" w:sz="4" w:space="0" w:color="000000"/>
              <w:right w:val="single" w:sz="4" w:space="0" w:color="000000"/>
            </w:tcBorders>
          </w:tcPr>
          <w:p w14:paraId="242D4645" w14:textId="77777777" w:rsidR="001A274F" w:rsidRPr="00D21D8C" w:rsidRDefault="001A274F">
            <w:pPr>
              <w:pStyle w:val="PLRTextUnindented"/>
              <w:keepNext/>
              <w:tabs>
                <w:tab w:val="left" w:pos="648"/>
              </w:tabs>
              <w:spacing w:before="60"/>
              <w:jc w:val="center"/>
              <w:rPr>
                <w:rFonts w:asciiTheme="majorBidi" w:hAnsiTheme="majorBidi" w:cstheme="majorBidi"/>
                <w:bCs/>
                <w:sz w:val="22"/>
                <w:szCs w:val="22"/>
                <w:lang w:val="nl-NL"/>
              </w:rPr>
            </w:pPr>
          </w:p>
        </w:tc>
        <w:tc>
          <w:tcPr>
            <w:tcW w:w="3813" w:type="dxa"/>
            <w:tcBorders>
              <w:top w:val="single" w:sz="4" w:space="0" w:color="000000"/>
              <w:left w:val="single" w:sz="4" w:space="0" w:color="000000"/>
              <w:bottom w:val="single" w:sz="4" w:space="0" w:color="000000"/>
              <w:right w:val="single" w:sz="4" w:space="0" w:color="000000"/>
            </w:tcBorders>
            <w:shd w:val="clear" w:color="auto" w:fill="auto"/>
          </w:tcPr>
          <w:p w14:paraId="77ED959C" w14:textId="77777777" w:rsidR="001A274F" w:rsidRPr="00D21D8C" w:rsidRDefault="00DA418A">
            <w:pPr>
              <w:pStyle w:val="PLRTextUnindented"/>
              <w:keepNext/>
              <w:jc w:val="center"/>
              <w:rPr>
                <w:rFonts w:asciiTheme="majorBidi" w:hAnsiTheme="majorBidi" w:cstheme="majorBidi"/>
                <w:b/>
                <w:sz w:val="22"/>
                <w:szCs w:val="22"/>
                <w:vertAlign w:val="superscript"/>
                <w:lang w:val="nl-NL"/>
              </w:rPr>
            </w:pPr>
            <w:r w:rsidRPr="00D21D8C">
              <w:rPr>
                <w:rFonts w:asciiTheme="majorBidi" w:hAnsiTheme="majorBidi" w:cstheme="majorBidi"/>
                <w:b/>
                <w:bCs/>
                <w:color w:val="000000"/>
                <w:sz w:val="22"/>
                <w:szCs w:val="22"/>
                <w:u w:color="FFFFFF"/>
                <w:lang w:val="nl-NL"/>
              </w:rPr>
              <w:t>Pirtobrutinib</w:t>
            </w:r>
          </w:p>
          <w:p w14:paraId="70918BFD" w14:textId="159CE8B7" w:rsidR="001A274F" w:rsidRPr="00D21D8C" w:rsidRDefault="00DA418A">
            <w:pPr>
              <w:pStyle w:val="PLRTextUnindented"/>
              <w:keepNext/>
              <w:jc w:val="center"/>
              <w:rPr>
                <w:rFonts w:asciiTheme="majorBidi" w:hAnsiTheme="majorBidi" w:cstheme="majorBidi"/>
                <w:b/>
                <w:sz w:val="22"/>
                <w:szCs w:val="22"/>
                <w:vertAlign w:val="superscript"/>
                <w:lang w:val="nl-NL"/>
              </w:rPr>
            </w:pPr>
            <w:r w:rsidRPr="00D21D8C">
              <w:rPr>
                <w:rFonts w:asciiTheme="majorBidi" w:hAnsiTheme="majorBidi" w:cstheme="majorBidi"/>
                <w:b/>
                <w:bCs/>
                <w:color w:val="000000"/>
                <w:sz w:val="22"/>
                <w:szCs w:val="22"/>
                <w:u w:color="FFFFFF"/>
                <w:lang w:val="nl-NL"/>
              </w:rPr>
              <w:t>N</w:t>
            </w:r>
            <w:r w:rsidR="00E570DA" w:rsidRPr="00D21D8C">
              <w:rPr>
                <w:rFonts w:asciiTheme="majorBidi" w:hAnsiTheme="majorBidi" w:cstheme="majorBidi"/>
                <w:b/>
                <w:bCs/>
                <w:color w:val="000000"/>
                <w:sz w:val="22"/>
                <w:szCs w:val="22"/>
                <w:u w:color="FFFFFF"/>
                <w:lang w:val="nl-NL"/>
              </w:rPr>
              <w:t> </w:t>
            </w:r>
            <w:r w:rsidRPr="00D21D8C">
              <w:rPr>
                <w:rFonts w:asciiTheme="majorBidi" w:hAnsiTheme="majorBidi" w:cstheme="majorBidi"/>
                <w:b/>
                <w:bCs/>
                <w:color w:val="000000"/>
                <w:sz w:val="22"/>
                <w:szCs w:val="22"/>
                <w:u w:color="FFFFFF"/>
                <w:lang w:val="nl-NL"/>
              </w:rPr>
              <w:t>=</w:t>
            </w:r>
            <w:r w:rsidR="00E570DA" w:rsidRPr="00D21D8C">
              <w:rPr>
                <w:rFonts w:asciiTheme="majorBidi" w:hAnsiTheme="majorBidi" w:cstheme="majorBidi"/>
                <w:b/>
                <w:bCs/>
                <w:color w:val="000000"/>
                <w:sz w:val="22"/>
                <w:szCs w:val="22"/>
                <w:u w:color="FFFFFF"/>
                <w:lang w:val="nl-NL"/>
              </w:rPr>
              <w:t> </w:t>
            </w:r>
            <w:r w:rsidRPr="00D21D8C">
              <w:rPr>
                <w:rFonts w:asciiTheme="majorBidi" w:hAnsiTheme="majorBidi" w:cstheme="majorBidi"/>
                <w:b/>
                <w:bCs/>
                <w:color w:val="000000"/>
                <w:sz w:val="22"/>
                <w:szCs w:val="22"/>
                <w:u w:color="FFFFFF"/>
                <w:lang w:val="nl-NL"/>
              </w:rPr>
              <w:t>90</w:t>
            </w:r>
          </w:p>
        </w:tc>
      </w:tr>
      <w:tr w:rsidR="001A274F" w:rsidRPr="0075517C" w14:paraId="5BE9C400" w14:textId="77777777">
        <w:trPr>
          <w:trHeight w:val="198"/>
          <w:jc w:val="center"/>
        </w:trPr>
        <w:tc>
          <w:tcPr>
            <w:tcW w:w="9194" w:type="dxa"/>
            <w:gridSpan w:val="2"/>
            <w:tcBorders>
              <w:top w:val="single" w:sz="4" w:space="0" w:color="000000"/>
              <w:left w:val="single" w:sz="4" w:space="0" w:color="000000"/>
              <w:bottom w:val="single" w:sz="4" w:space="0" w:color="000000"/>
              <w:right w:val="single" w:sz="4" w:space="0" w:color="000000"/>
            </w:tcBorders>
            <w:shd w:val="clear" w:color="auto" w:fill="auto"/>
          </w:tcPr>
          <w:p w14:paraId="123D7CCF" w14:textId="3904C1FF" w:rsidR="001A274F" w:rsidRPr="0042332D" w:rsidRDefault="00DA418A">
            <w:pPr>
              <w:pStyle w:val="PLRTextUnindented"/>
              <w:keepNext/>
              <w:rPr>
                <w:rFonts w:asciiTheme="majorBidi" w:hAnsiTheme="majorBidi" w:cstheme="majorBidi"/>
                <w:b/>
                <w:sz w:val="22"/>
                <w:szCs w:val="22"/>
              </w:rPr>
            </w:pPr>
            <w:r w:rsidRPr="0042332D">
              <w:rPr>
                <w:rFonts w:asciiTheme="majorBidi" w:hAnsiTheme="majorBidi" w:cstheme="majorBidi"/>
                <w:b/>
                <w:bCs/>
                <w:color w:val="000000"/>
                <w:sz w:val="22"/>
                <w:szCs w:val="22"/>
                <w:u w:color="FFFFFF"/>
              </w:rPr>
              <w:t>Objectieve respons</w:t>
            </w:r>
            <w:r w:rsidR="007620A8" w:rsidRPr="0042332D">
              <w:rPr>
                <w:rFonts w:asciiTheme="majorBidi" w:hAnsiTheme="majorBidi" w:cstheme="majorBidi"/>
                <w:b/>
                <w:bCs/>
                <w:color w:val="000000"/>
                <w:sz w:val="22"/>
                <w:szCs w:val="22"/>
                <w:u w:color="FFFFFF"/>
              </w:rPr>
              <w:t>percentage</w:t>
            </w:r>
            <w:r w:rsidRPr="0042332D">
              <w:rPr>
                <w:rFonts w:asciiTheme="majorBidi" w:hAnsiTheme="majorBidi" w:cstheme="majorBidi"/>
                <w:b/>
                <w:bCs/>
                <w:color w:val="000000"/>
                <w:sz w:val="22"/>
                <w:szCs w:val="22"/>
                <w:u w:color="FFFFFF"/>
              </w:rPr>
              <w:t xml:space="preserve"> (complete respons + partiële respons)</w:t>
            </w:r>
          </w:p>
        </w:tc>
      </w:tr>
      <w:tr w:rsidR="001A274F" w:rsidRPr="00D21D8C" w14:paraId="5C4D6927" w14:textId="77777777">
        <w:trPr>
          <w:trHeight w:val="198"/>
          <w:jc w:val="center"/>
        </w:trPr>
        <w:tc>
          <w:tcPr>
            <w:tcW w:w="5381" w:type="dxa"/>
            <w:tcBorders>
              <w:top w:val="single" w:sz="4" w:space="0" w:color="000000"/>
              <w:left w:val="single" w:sz="4" w:space="0" w:color="000000"/>
              <w:bottom w:val="single" w:sz="4" w:space="0" w:color="000000"/>
              <w:right w:val="single" w:sz="4" w:space="0" w:color="000000"/>
            </w:tcBorders>
          </w:tcPr>
          <w:p w14:paraId="321113AF" w14:textId="6DD4BF60" w:rsidR="001A274F" w:rsidRPr="00D21D8C" w:rsidRDefault="004C292E">
            <w:pPr>
              <w:pStyle w:val="PLRTextUnindented"/>
              <w:keepNext/>
              <w:tabs>
                <w:tab w:val="left" w:pos="342"/>
              </w:tabs>
              <w:ind w:left="335"/>
              <w:rPr>
                <w:rFonts w:asciiTheme="majorBidi" w:hAnsiTheme="majorBidi" w:cstheme="majorBidi"/>
                <w:sz w:val="22"/>
                <w:szCs w:val="22"/>
                <w:lang w:val="nl-NL"/>
              </w:rPr>
            </w:pPr>
            <w:r w:rsidRPr="00D21D8C">
              <w:rPr>
                <w:rFonts w:asciiTheme="majorBidi" w:hAnsiTheme="majorBidi" w:cstheme="majorBidi"/>
                <w:color w:val="000000"/>
                <w:sz w:val="22"/>
                <w:szCs w:val="22"/>
                <w:u w:color="FFFFFF"/>
                <w:lang w:val="nl-NL"/>
              </w:rPr>
              <w:t>Respons</w:t>
            </w:r>
            <w:r w:rsidR="00DA418A" w:rsidRPr="00D21D8C">
              <w:rPr>
                <w:rFonts w:asciiTheme="majorBidi" w:hAnsiTheme="majorBidi" w:cstheme="majorBidi"/>
                <w:color w:val="000000"/>
                <w:sz w:val="22"/>
                <w:szCs w:val="22"/>
                <w:u w:color="FFFFFF"/>
                <w:lang w:val="nl-NL"/>
              </w:rPr>
              <w:t>percentage (95%</w:t>
            </w:r>
            <w:r w:rsidR="007620A8" w:rsidRPr="00D21D8C">
              <w:rPr>
                <w:rFonts w:asciiTheme="majorBidi" w:hAnsiTheme="majorBidi" w:cstheme="majorBidi"/>
                <w:color w:val="000000"/>
                <w:sz w:val="22"/>
                <w:szCs w:val="22"/>
                <w:u w:color="FFFFFF"/>
                <w:lang w:val="nl-NL"/>
              </w:rPr>
              <w:t>-</w:t>
            </w:r>
            <w:r w:rsidR="00DA418A" w:rsidRPr="00D21D8C">
              <w:rPr>
                <w:rFonts w:asciiTheme="majorBidi" w:hAnsiTheme="majorBidi" w:cstheme="majorBidi"/>
                <w:color w:val="000000"/>
                <w:sz w:val="22"/>
                <w:szCs w:val="22"/>
                <w:u w:color="FFFFFF"/>
                <w:lang w:val="nl-NL"/>
              </w:rPr>
              <w:t>BI)</w:t>
            </w:r>
          </w:p>
        </w:tc>
        <w:tc>
          <w:tcPr>
            <w:tcW w:w="3813" w:type="dxa"/>
            <w:tcBorders>
              <w:top w:val="single" w:sz="4" w:space="0" w:color="000000"/>
              <w:left w:val="single" w:sz="4" w:space="0" w:color="000000"/>
              <w:bottom w:val="single" w:sz="4" w:space="0" w:color="000000"/>
              <w:right w:val="single" w:sz="4" w:space="0" w:color="000000"/>
            </w:tcBorders>
            <w:shd w:val="clear" w:color="auto" w:fill="auto"/>
          </w:tcPr>
          <w:p w14:paraId="542CF8B0" w14:textId="3F987FEF" w:rsidR="001A274F" w:rsidRPr="00D21D8C" w:rsidRDefault="00241098">
            <w:pPr>
              <w:pStyle w:val="PLRTextUnindented"/>
              <w:keepNext/>
              <w:jc w:val="center"/>
              <w:rPr>
                <w:rFonts w:asciiTheme="majorBidi" w:hAnsiTheme="majorBidi" w:cstheme="majorBidi"/>
                <w:sz w:val="22"/>
                <w:szCs w:val="22"/>
                <w:lang w:val="nl-NL"/>
              </w:rPr>
            </w:pPr>
            <w:r w:rsidRPr="00D21D8C">
              <w:rPr>
                <w:rFonts w:ascii="Times New Roman" w:hAnsi="Times New Roman"/>
                <w:sz w:val="22"/>
                <w:szCs w:val="22"/>
                <w:lang w:val="nl-NL"/>
              </w:rPr>
              <w:t>56,7 (45,8; 67,1)</w:t>
            </w:r>
          </w:p>
        </w:tc>
      </w:tr>
      <w:tr w:rsidR="001A274F" w:rsidRPr="00D21D8C" w14:paraId="4B9A0BC0" w14:textId="77777777">
        <w:trPr>
          <w:trHeight w:val="198"/>
          <w:jc w:val="center"/>
        </w:trPr>
        <w:tc>
          <w:tcPr>
            <w:tcW w:w="5381" w:type="dxa"/>
            <w:tcBorders>
              <w:top w:val="single" w:sz="4" w:space="0" w:color="000000"/>
              <w:left w:val="single" w:sz="4" w:space="0" w:color="000000"/>
              <w:bottom w:val="single" w:sz="4" w:space="0" w:color="000000"/>
              <w:right w:val="single" w:sz="4" w:space="0" w:color="000000"/>
            </w:tcBorders>
          </w:tcPr>
          <w:p w14:paraId="20C7E89E" w14:textId="77777777" w:rsidR="001A274F" w:rsidRPr="00D21D8C" w:rsidRDefault="00DA418A">
            <w:pPr>
              <w:pStyle w:val="PLRTextUnindented"/>
              <w:keepNext/>
              <w:tabs>
                <w:tab w:val="left" w:pos="342"/>
              </w:tabs>
              <w:ind w:left="335"/>
              <w:rPr>
                <w:rFonts w:asciiTheme="majorBidi" w:hAnsiTheme="majorBidi" w:cstheme="majorBidi"/>
                <w:sz w:val="22"/>
                <w:szCs w:val="22"/>
                <w:lang w:val="nl-NL"/>
              </w:rPr>
            </w:pPr>
            <w:r w:rsidRPr="00D21D8C">
              <w:rPr>
                <w:rFonts w:asciiTheme="majorBidi" w:hAnsiTheme="majorBidi" w:cstheme="majorBidi"/>
                <w:color w:val="000000"/>
                <w:sz w:val="22"/>
                <w:szCs w:val="22"/>
                <w:u w:color="FFFFFF"/>
                <w:lang w:val="nl-NL"/>
              </w:rPr>
              <w:t>CR - percentage</w:t>
            </w:r>
          </w:p>
        </w:tc>
        <w:tc>
          <w:tcPr>
            <w:tcW w:w="3813" w:type="dxa"/>
            <w:tcBorders>
              <w:top w:val="single" w:sz="4" w:space="0" w:color="000000"/>
              <w:left w:val="single" w:sz="4" w:space="0" w:color="000000"/>
              <w:bottom w:val="single" w:sz="4" w:space="0" w:color="000000"/>
              <w:right w:val="single" w:sz="4" w:space="0" w:color="000000"/>
            </w:tcBorders>
            <w:shd w:val="clear" w:color="auto" w:fill="auto"/>
          </w:tcPr>
          <w:p w14:paraId="3033BB02" w14:textId="5870CA4A" w:rsidR="001A274F" w:rsidRPr="00D21D8C" w:rsidRDefault="00241098">
            <w:pPr>
              <w:pStyle w:val="PLRTextUnindented"/>
              <w:keepNext/>
              <w:jc w:val="center"/>
              <w:rPr>
                <w:rFonts w:asciiTheme="majorBidi" w:hAnsiTheme="majorBidi" w:cstheme="majorBidi"/>
                <w:sz w:val="22"/>
                <w:szCs w:val="22"/>
                <w:lang w:val="nl-NL"/>
              </w:rPr>
            </w:pPr>
            <w:r w:rsidRPr="00D21D8C">
              <w:rPr>
                <w:rFonts w:ascii="Times New Roman" w:hAnsi="Times New Roman"/>
                <w:sz w:val="22"/>
                <w:szCs w:val="22"/>
                <w:lang w:val="nl-NL"/>
              </w:rPr>
              <w:t>18,9</w:t>
            </w:r>
          </w:p>
        </w:tc>
      </w:tr>
      <w:tr w:rsidR="001A274F" w:rsidRPr="00D21D8C" w14:paraId="137EE506" w14:textId="77777777">
        <w:trPr>
          <w:trHeight w:val="198"/>
          <w:jc w:val="center"/>
        </w:trPr>
        <w:tc>
          <w:tcPr>
            <w:tcW w:w="5381" w:type="dxa"/>
            <w:tcBorders>
              <w:top w:val="single" w:sz="4" w:space="0" w:color="000000"/>
              <w:left w:val="single" w:sz="4" w:space="0" w:color="000000"/>
              <w:bottom w:val="single" w:sz="4" w:space="0" w:color="000000"/>
              <w:right w:val="single" w:sz="4" w:space="0" w:color="000000"/>
            </w:tcBorders>
          </w:tcPr>
          <w:p w14:paraId="6FC19E49" w14:textId="77777777" w:rsidR="001A274F" w:rsidRPr="00D21D8C" w:rsidRDefault="00DA418A">
            <w:pPr>
              <w:pStyle w:val="PLRTextUnindented"/>
              <w:keepNext/>
              <w:tabs>
                <w:tab w:val="left" w:pos="342"/>
              </w:tabs>
              <w:ind w:left="335"/>
              <w:rPr>
                <w:rFonts w:asciiTheme="majorBidi" w:hAnsiTheme="majorBidi" w:cstheme="majorBidi"/>
                <w:sz w:val="22"/>
                <w:szCs w:val="22"/>
                <w:lang w:val="nl-NL"/>
              </w:rPr>
            </w:pPr>
            <w:r w:rsidRPr="00D21D8C">
              <w:rPr>
                <w:rFonts w:asciiTheme="majorBidi" w:hAnsiTheme="majorBidi" w:cstheme="majorBidi"/>
                <w:color w:val="000000"/>
                <w:sz w:val="22"/>
                <w:szCs w:val="22"/>
                <w:u w:color="FFFFFF"/>
                <w:lang w:val="nl-NL"/>
              </w:rPr>
              <w:t>PR - percentage</w:t>
            </w:r>
          </w:p>
        </w:tc>
        <w:tc>
          <w:tcPr>
            <w:tcW w:w="3813" w:type="dxa"/>
            <w:tcBorders>
              <w:top w:val="single" w:sz="4" w:space="0" w:color="000000"/>
              <w:left w:val="single" w:sz="4" w:space="0" w:color="000000"/>
              <w:bottom w:val="single" w:sz="4" w:space="0" w:color="000000"/>
              <w:right w:val="single" w:sz="4" w:space="0" w:color="000000"/>
            </w:tcBorders>
            <w:shd w:val="clear" w:color="auto" w:fill="auto"/>
          </w:tcPr>
          <w:p w14:paraId="71E2590B" w14:textId="77777777" w:rsidR="001A274F" w:rsidRPr="00D21D8C" w:rsidRDefault="00DA418A">
            <w:pPr>
              <w:pStyle w:val="PLRTextUnindented"/>
              <w:keepNext/>
              <w:jc w:val="center"/>
              <w:rPr>
                <w:rFonts w:asciiTheme="majorBidi" w:hAnsiTheme="majorBidi" w:cstheme="majorBidi"/>
                <w:sz w:val="22"/>
                <w:szCs w:val="22"/>
                <w:lang w:val="nl-NL"/>
              </w:rPr>
            </w:pPr>
            <w:r w:rsidRPr="00D21D8C">
              <w:rPr>
                <w:rFonts w:asciiTheme="majorBidi" w:hAnsiTheme="majorBidi" w:cstheme="majorBidi"/>
                <w:color w:val="000000"/>
                <w:sz w:val="22"/>
                <w:szCs w:val="22"/>
                <w:u w:color="FFFFFF"/>
                <w:lang w:val="nl-NL"/>
              </w:rPr>
              <w:t>37,8</w:t>
            </w:r>
          </w:p>
        </w:tc>
      </w:tr>
      <w:tr w:rsidR="001A274F" w:rsidRPr="00D21D8C" w14:paraId="4CA1DF27" w14:textId="77777777">
        <w:trPr>
          <w:trHeight w:val="198"/>
          <w:jc w:val="center"/>
        </w:trPr>
        <w:tc>
          <w:tcPr>
            <w:tcW w:w="9194" w:type="dxa"/>
            <w:gridSpan w:val="2"/>
            <w:tcBorders>
              <w:top w:val="single" w:sz="4" w:space="0" w:color="000000"/>
              <w:left w:val="single" w:sz="4" w:space="0" w:color="000000"/>
              <w:bottom w:val="single" w:sz="4" w:space="0" w:color="000000"/>
              <w:right w:val="single" w:sz="4" w:space="0" w:color="000000"/>
            </w:tcBorders>
            <w:shd w:val="clear" w:color="auto" w:fill="auto"/>
          </w:tcPr>
          <w:p w14:paraId="0624CB8F" w14:textId="7A0D6A3F" w:rsidR="001A274F" w:rsidRPr="00D21D8C" w:rsidRDefault="00DA418A">
            <w:pPr>
              <w:pStyle w:val="PLRTextUnindented"/>
              <w:keepNext/>
              <w:rPr>
                <w:rFonts w:asciiTheme="majorBidi" w:hAnsiTheme="majorBidi" w:cstheme="majorBidi"/>
                <w:b/>
                <w:sz w:val="22"/>
                <w:szCs w:val="22"/>
                <w:vertAlign w:val="superscript"/>
                <w:lang w:val="nl-NL"/>
              </w:rPr>
            </w:pPr>
            <w:r w:rsidRPr="00D21D8C">
              <w:rPr>
                <w:rFonts w:asciiTheme="majorBidi" w:hAnsiTheme="majorBidi" w:cstheme="majorBidi"/>
                <w:b/>
                <w:bCs/>
                <w:color w:val="000000"/>
                <w:sz w:val="22"/>
                <w:szCs w:val="22"/>
                <w:u w:color="FFFFFF"/>
                <w:lang w:val="nl-NL"/>
              </w:rPr>
              <w:t>Responsduur</w:t>
            </w:r>
          </w:p>
        </w:tc>
      </w:tr>
      <w:tr w:rsidR="001A274F" w:rsidRPr="00D21D8C" w14:paraId="2A717249" w14:textId="77777777">
        <w:trPr>
          <w:trHeight w:val="198"/>
          <w:jc w:val="center"/>
        </w:trPr>
        <w:tc>
          <w:tcPr>
            <w:tcW w:w="5381" w:type="dxa"/>
            <w:tcBorders>
              <w:top w:val="single" w:sz="4" w:space="0" w:color="000000"/>
              <w:left w:val="single" w:sz="4" w:space="0" w:color="000000"/>
              <w:bottom w:val="single" w:sz="4" w:space="0" w:color="000000"/>
              <w:right w:val="single" w:sz="4" w:space="0" w:color="000000"/>
            </w:tcBorders>
          </w:tcPr>
          <w:p w14:paraId="78FAA977" w14:textId="4B144E66" w:rsidR="001A274F" w:rsidRPr="00D21D8C" w:rsidRDefault="00DA418A">
            <w:pPr>
              <w:pStyle w:val="PLRTextUnindented"/>
              <w:keepNext/>
              <w:tabs>
                <w:tab w:val="left" w:pos="342"/>
              </w:tabs>
              <w:ind w:left="335"/>
              <w:rPr>
                <w:rFonts w:asciiTheme="majorBidi" w:hAnsiTheme="majorBidi" w:cstheme="majorBidi"/>
                <w:sz w:val="22"/>
                <w:szCs w:val="22"/>
                <w:lang w:val="nl-NL"/>
              </w:rPr>
            </w:pPr>
            <w:r w:rsidRPr="00D21D8C">
              <w:rPr>
                <w:rFonts w:asciiTheme="majorBidi" w:hAnsiTheme="majorBidi" w:cstheme="majorBidi"/>
                <w:color w:val="000000"/>
                <w:sz w:val="22"/>
                <w:szCs w:val="22"/>
                <w:u w:color="FFFFFF"/>
                <w:lang w:val="nl-NL"/>
              </w:rPr>
              <w:t>Mediaan - maanden (95%</w:t>
            </w:r>
            <w:r w:rsidR="007620A8" w:rsidRPr="00D21D8C">
              <w:rPr>
                <w:rFonts w:asciiTheme="majorBidi" w:hAnsiTheme="majorBidi" w:cstheme="majorBidi"/>
                <w:color w:val="000000"/>
                <w:sz w:val="22"/>
                <w:szCs w:val="22"/>
                <w:u w:color="FFFFFF"/>
                <w:lang w:val="nl-NL"/>
              </w:rPr>
              <w:t>-</w:t>
            </w:r>
            <w:r w:rsidRPr="00D21D8C">
              <w:rPr>
                <w:rFonts w:asciiTheme="majorBidi" w:hAnsiTheme="majorBidi" w:cstheme="majorBidi"/>
                <w:color w:val="000000"/>
                <w:sz w:val="22"/>
                <w:szCs w:val="22"/>
                <w:u w:color="FFFFFF"/>
                <w:lang w:val="nl-NL"/>
              </w:rPr>
              <w:t>BI)</w:t>
            </w:r>
          </w:p>
        </w:tc>
        <w:tc>
          <w:tcPr>
            <w:tcW w:w="3813" w:type="dxa"/>
            <w:tcBorders>
              <w:top w:val="single" w:sz="4" w:space="0" w:color="000000"/>
              <w:left w:val="single" w:sz="4" w:space="0" w:color="000000"/>
              <w:bottom w:val="single" w:sz="4" w:space="0" w:color="000000"/>
              <w:right w:val="single" w:sz="4" w:space="0" w:color="000000"/>
            </w:tcBorders>
            <w:shd w:val="clear" w:color="auto" w:fill="auto"/>
          </w:tcPr>
          <w:p w14:paraId="43443351" w14:textId="6FB1EC45" w:rsidR="001A274F" w:rsidRPr="00D21D8C" w:rsidRDefault="00241098">
            <w:pPr>
              <w:pStyle w:val="PLRTextUnindented"/>
              <w:keepNext/>
              <w:jc w:val="center"/>
              <w:rPr>
                <w:rFonts w:asciiTheme="majorBidi" w:hAnsiTheme="majorBidi" w:cstheme="majorBidi"/>
                <w:sz w:val="22"/>
                <w:szCs w:val="22"/>
                <w:lang w:val="nl-NL"/>
              </w:rPr>
            </w:pPr>
            <w:r w:rsidRPr="00D21D8C">
              <w:rPr>
                <w:rFonts w:ascii="Times New Roman" w:hAnsi="Times New Roman"/>
                <w:sz w:val="22"/>
                <w:szCs w:val="22"/>
                <w:lang w:val="nl-NL"/>
              </w:rPr>
              <w:t>17,61 (7,29; 27,24)</w:t>
            </w:r>
          </w:p>
        </w:tc>
      </w:tr>
    </w:tbl>
    <w:p w14:paraId="5D3A1569" w14:textId="18CFCC8E" w:rsidR="001A274F" w:rsidRPr="00D21D8C" w:rsidRDefault="00DA418A">
      <w:pPr>
        <w:pStyle w:val="PLRBodyTextIndented"/>
        <w:keepNext/>
        <w:ind w:firstLine="0"/>
        <w:rPr>
          <w:rFonts w:asciiTheme="majorBidi" w:hAnsiTheme="majorBidi" w:cstheme="majorBidi"/>
          <w:szCs w:val="22"/>
          <w:lang w:val="nl-NL"/>
        </w:rPr>
      </w:pPr>
      <w:r w:rsidRPr="00D21D8C">
        <w:rPr>
          <w:rFonts w:asciiTheme="majorBidi" w:hAnsiTheme="majorBidi" w:cstheme="majorBidi"/>
          <w:color w:val="000000"/>
          <w:szCs w:val="22"/>
          <w:u w:color="FFFFFF"/>
          <w:lang w:val="nl-NL"/>
        </w:rPr>
        <w:t>Afkortingen: BI = betrouwbaarheidsinterval, NE</w:t>
      </w:r>
      <w:r w:rsidR="002069EC" w:rsidRPr="00D21D8C">
        <w:rPr>
          <w:rFonts w:asciiTheme="majorBidi" w:hAnsiTheme="majorBidi" w:cstheme="majorBidi"/>
          <w:color w:val="000000"/>
          <w:szCs w:val="22"/>
          <w:u w:color="FFFFFF"/>
          <w:lang w:val="nl-NL"/>
        </w:rPr>
        <w:t xml:space="preserve"> </w:t>
      </w:r>
      <w:r w:rsidRPr="00D21D8C">
        <w:rPr>
          <w:rFonts w:asciiTheme="majorBidi" w:hAnsiTheme="majorBidi" w:cstheme="majorBidi"/>
          <w:color w:val="000000"/>
          <w:szCs w:val="22"/>
          <w:u w:color="FFFFFF"/>
          <w:lang w:val="nl-NL"/>
        </w:rPr>
        <w:t>= niet in te schatten, CR = complete respons, PR = partiële respons.</w:t>
      </w:r>
    </w:p>
    <w:p w14:paraId="18545482" w14:textId="76E72838" w:rsidR="001A274F" w:rsidRPr="00D21D8C" w:rsidRDefault="00904561">
      <w:pPr>
        <w:pStyle w:val="PLRBodyTextIndented"/>
        <w:keepNext/>
        <w:ind w:firstLine="0"/>
        <w:rPr>
          <w:rFonts w:asciiTheme="majorBidi" w:hAnsiTheme="majorBidi" w:cstheme="majorBidi"/>
          <w:color w:val="000000"/>
          <w:szCs w:val="22"/>
          <w:u w:color="FFFFFF"/>
          <w:lang w:val="nl-NL"/>
        </w:rPr>
      </w:pPr>
      <w:r w:rsidRPr="00D21D8C">
        <w:rPr>
          <w:rFonts w:asciiTheme="majorBidi" w:eastAsia="Arial" w:hAnsiTheme="majorBidi" w:cstheme="majorBidi"/>
          <w:color w:val="000000"/>
          <w:szCs w:val="22"/>
          <w:u w:color="FFFFFF"/>
          <w:lang w:val="nl-NL"/>
        </w:rPr>
        <w:t>S</w:t>
      </w:r>
      <w:r w:rsidR="00055A1E" w:rsidRPr="00D21D8C">
        <w:rPr>
          <w:rFonts w:asciiTheme="majorBidi" w:eastAsia="Arial" w:hAnsiTheme="majorBidi" w:cstheme="majorBidi"/>
          <w:color w:val="000000"/>
          <w:szCs w:val="22"/>
          <w:u w:color="FFFFFF"/>
          <w:lang w:val="nl-NL"/>
        </w:rPr>
        <w:t>luitingsdatum van gegevens</w:t>
      </w:r>
      <w:r w:rsidRPr="00D21D8C">
        <w:rPr>
          <w:rFonts w:asciiTheme="majorBidi" w:eastAsia="Arial" w:hAnsiTheme="majorBidi" w:cstheme="majorBidi"/>
          <w:color w:val="000000"/>
          <w:szCs w:val="22"/>
          <w:u w:color="FFFFFF"/>
          <w:lang w:val="nl-NL"/>
        </w:rPr>
        <w:t>verzameling</w:t>
      </w:r>
      <w:r w:rsidR="00055A1E" w:rsidRPr="00D21D8C">
        <w:rPr>
          <w:rFonts w:asciiTheme="majorBidi" w:eastAsia="Arial" w:hAnsiTheme="majorBidi" w:cstheme="majorBidi"/>
          <w:color w:val="000000"/>
          <w:szCs w:val="22"/>
          <w:u w:color="FFFFFF"/>
          <w:lang w:val="nl-NL"/>
        </w:rPr>
        <w:t xml:space="preserve">: 29 juli 2022. </w:t>
      </w:r>
      <w:r w:rsidR="00DA418A" w:rsidRPr="00D21D8C">
        <w:rPr>
          <w:rFonts w:asciiTheme="majorBidi" w:hAnsiTheme="majorBidi" w:cstheme="majorBidi"/>
          <w:color w:val="000000"/>
          <w:szCs w:val="22"/>
          <w:u w:color="FFFFFF"/>
          <w:lang w:val="nl-NL"/>
        </w:rPr>
        <w:t xml:space="preserve">De mediane follow-uptijd voor responsduur was </w:t>
      </w:r>
      <w:r w:rsidR="00E570DA" w:rsidRPr="00D21D8C">
        <w:rPr>
          <w:rFonts w:asciiTheme="majorBidi" w:hAnsiTheme="majorBidi" w:cstheme="majorBidi"/>
          <w:color w:val="000000"/>
          <w:szCs w:val="22"/>
          <w:u w:color="FFFFFF"/>
          <w:lang w:val="nl-NL"/>
        </w:rPr>
        <w:t>12,68</w:t>
      </w:r>
      <w:r w:rsidR="00DA418A" w:rsidRPr="00D21D8C">
        <w:rPr>
          <w:rFonts w:asciiTheme="majorBidi" w:hAnsiTheme="majorBidi" w:cstheme="majorBidi"/>
          <w:color w:val="000000"/>
          <w:szCs w:val="22"/>
          <w:u w:color="FFFFFF"/>
          <w:lang w:val="nl-NL"/>
        </w:rPr>
        <w:t> maanden.</w:t>
      </w:r>
    </w:p>
    <w:p w14:paraId="725FDB60" w14:textId="77777777" w:rsidR="002C1534" w:rsidRPr="00D21D8C" w:rsidRDefault="002C1534">
      <w:pPr>
        <w:pStyle w:val="PLRBodyTextIndented"/>
        <w:keepNext/>
        <w:ind w:firstLine="0"/>
        <w:rPr>
          <w:rFonts w:asciiTheme="majorBidi" w:hAnsiTheme="majorBidi" w:cstheme="majorBidi"/>
          <w:color w:val="000000"/>
          <w:szCs w:val="22"/>
          <w:u w:color="FFFFFF"/>
          <w:lang w:val="nl-NL"/>
        </w:rPr>
      </w:pPr>
    </w:p>
    <w:p w14:paraId="18522FF4" w14:textId="4F644F5B" w:rsidR="002C1534" w:rsidRPr="000D0EC8" w:rsidRDefault="00C56F34">
      <w:pPr>
        <w:pStyle w:val="PLRBodyTextIndented"/>
        <w:keepNext/>
        <w:ind w:firstLine="0"/>
        <w:rPr>
          <w:rFonts w:asciiTheme="majorBidi" w:hAnsiTheme="majorBidi" w:cstheme="majorBidi"/>
          <w:i/>
          <w:iCs/>
          <w:szCs w:val="22"/>
          <w:lang w:val="nl-NL"/>
        </w:rPr>
      </w:pPr>
      <w:r w:rsidRPr="000D0EC8">
        <w:rPr>
          <w:rFonts w:asciiTheme="majorBidi" w:hAnsiTheme="majorBidi" w:cstheme="majorBidi"/>
          <w:i/>
          <w:iCs/>
          <w:szCs w:val="22"/>
          <w:lang w:val="nl-NL"/>
        </w:rPr>
        <w:t>Chronische lymfatische leukemie</w:t>
      </w:r>
    </w:p>
    <w:p w14:paraId="335D004F" w14:textId="4EE0A300" w:rsidR="00C56F34" w:rsidRPr="00D21D8C" w:rsidRDefault="008E636B">
      <w:pPr>
        <w:pStyle w:val="PLRBodyTextIndented"/>
        <w:keepNext/>
        <w:ind w:firstLine="0"/>
        <w:rPr>
          <w:rFonts w:asciiTheme="majorBidi" w:hAnsiTheme="majorBidi" w:cstheme="majorBidi"/>
          <w:szCs w:val="22"/>
          <w:lang w:val="nl-NL"/>
        </w:rPr>
      </w:pPr>
      <w:r w:rsidRPr="00D21D8C">
        <w:rPr>
          <w:rFonts w:asciiTheme="majorBidi" w:hAnsiTheme="majorBidi" w:cstheme="majorBidi"/>
          <w:szCs w:val="22"/>
          <w:lang w:val="nl-NL"/>
        </w:rPr>
        <w:t xml:space="preserve">De werkzaamheid van Jaypirca bij patiënten met met BTK-remmer voorbehandelde CLL werd </w:t>
      </w:r>
      <w:r w:rsidR="00FD235D" w:rsidRPr="00D21D8C">
        <w:rPr>
          <w:rFonts w:asciiTheme="majorBidi" w:hAnsiTheme="majorBidi" w:cstheme="majorBidi"/>
          <w:szCs w:val="22"/>
          <w:lang w:val="nl-NL"/>
        </w:rPr>
        <w:t>onderzocht</w:t>
      </w:r>
      <w:r w:rsidRPr="00D21D8C">
        <w:rPr>
          <w:rFonts w:asciiTheme="majorBidi" w:hAnsiTheme="majorBidi" w:cstheme="majorBidi"/>
          <w:szCs w:val="22"/>
          <w:lang w:val="nl-NL"/>
        </w:rPr>
        <w:t xml:space="preserve"> in een gerandomiseer</w:t>
      </w:r>
      <w:r w:rsidR="00AD3E30" w:rsidRPr="00D21D8C">
        <w:rPr>
          <w:rFonts w:asciiTheme="majorBidi" w:hAnsiTheme="majorBidi" w:cstheme="majorBidi"/>
          <w:szCs w:val="22"/>
          <w:lang w:val="nl-NL"/>
        </w:rPr>
        <w:t>d</w:t>
      </w:r>
      <w:r w:rsidRPr="00D21D8C">
        <w:rPr>
          <w:rFonts w:asciiTheme="majorBidi" w:hAnsiTheme="majorBidi" w:cstheme="majorBidi"/>
          <w:szCs w:val="22"/>
          <w:lang w:val="nl-NL"/>
        </w:rPr>
        <w:t>, multicenter, internationa</w:t>
      </w:r>
      <w:r w:rsidR="00AD3E30" w:rsidRPr="00D21D8C">
        <w:rPr>
          <w:rFonts w:asciiTheme="majorBidi" w:hAnsiTheme="majorBidi" w:cstheme="majorBidi"/>
          <w:szCs w:val="22"/>
          <w:lang w:val="nl-NL"/>
        </w:rPr>
        <w:t>al</w:t>
      </w:r>
      <w:r w:rsidRPr="00D21D8C">
        <w:rPr>
          <w:rFonts w:asciiTheme="majorBidi" w:hAnsiTheme="majorBidi" w:cstheme="majorBidi"/>
          <w:szCs w:val="22"/>
          <w:lang w:val="nl-NL"/>
        </w:rPr>
        <w:t>, open-label</w:t>
      </w:r>
      <w:r w:rsidR="00FD235D" w:rsidRPr="00D21D8C">
        <w:rPr>
          <w:rFonts w:asciiTheme="majorBidi" w:hAnsiTheme="majorBidi" w:cstheme="majorBidi"/>
          <w:szCs w:val="22"/>
          <w:lang w:val="nl-NL"/>
        </w:rPr>
        <w:t xml:space="preserve"> onderzoek </w:t>
      </w:r>
      <w:r w:rsidR="00CC460B" w:rsidRPr="00D21D8C">
        <w:rPr>
          <w:rFonts w:asciiTheme="majorBidi" w:hAnsiTheme="majorBidi" w:cstheme="majorBidi"/>
          <w:szCs w:val="22"/>
          <w:lang w:val="nl-NL"/>
        </w:rPr>
        <w:t xml:space="preserve">met werkzame controle </w:t>
      </w:r>
      <w:r w:rsidRPr="00D21D8C">
        <w:rPr>
          <w:rFonts w:asciiTheme="majorBidi" w:hAnsiTheme="majorBidi" w:cstheme="majorBidi"/>
          <w:szCs w:val="22"/>
          <w:lang w:val="nl-NL"/>
        </w:rPr>
        <w:t xml:space="preserve">(BRUIN CLL-321, </w:t>
      </w:r>
      <w:r w:rsidR="00AD3E30" w:rsidRPr="00D21D8C">
        <w:rPr>
          <w:rFonts w:asciiTheme="majorBidi" w:hAnsiTheme="majorBidi" w:cstheme="majorBidi"/>
          <w:szCs w:val="22"/>
          <w:lang w:val="nl-NL"/>
        </w:rPr>
        <w:t>onderzoek </w:t>
      </w:r>
      <w:r w:rsidRPr="00D21D8C">
        <w:rPr>
          <w:rFonts w:asciiTheme="majorBidi" w:hAnsiTheme="majorBidi" w:cstheme="majorBidi"/>
          <w:szCs w:val="22"/>
          <w:lang w:val="nl-NL"/>
        </w:rPr>
        <w:t>20020).</w:t>
      </w:r>
      <w:r w:rsidR="00CC460B" w:rsidRPr="00D21D8C">
        <w:rPr>
          <w:rFonts w:asciiTheme="majorBidi" w:hAnsiTheme="majorBidi" w:cstheme="majorBidi"/>
          <w:szCs w:val="22"/>
          <w:lang w:val="nl-NL"/>
        </w:rPr>
        <w:t xml:space="preserve"> </w:t>
      </w:r>
      <w:r w:rsidR="00986FB4" w:rsidRPr="00D21D8C">
        <w:rPr>
          <w:rFonts w:asciiTheme="majorBidi" w:hAnsiTheme="majorBidi" w:cstheme="majorBidi"/>
          <w:szCs w:val="22"/>
          <w:lang w:val="nl-NL"/>
        </w:rPr>
        <w:t>Het onderzoek omvatte</w:t>
      </w:r>
      <w:r w:rsidRPr="00D21D8C">
        <w:rPr>
          <w:rFonts w:asciiTheme="majorBidi" w:hAnsiTheme="majorBidi" w:cstheme="majorBidi"/>
          <w:szCs w:val="22"/>
          <w:lang w:val="nl-NL"/>
        </w:rPr>
        <w:t xml:space="preserve"> 238</w:t>
      </w:r>
      <w:r w:rsidR="00E97858" w:rsidRPr="00D21D8C">
        <w:rPr>
          <w:rFonts w:asciiTheme="majorBidi" w:hAnsiTheme="majorBidi" w:cstheme="majorBidi"/>
          <w:szCs w:val="22"/>
          <w:lang w:val="nl-NL"/>
        </w:rPr>
        <w:t> </w:t>
      </w:r>
      <w:r w:rsidRPr="00D21D8C">
        <w:rPr>
          <w:rFonts w:asciiTheme="majorBidi" w:hAnsiTheme="majorBidi" w:cstheme="majorBidi"/>
          <w:szCs w:val="22"/>
          <w:lang w:val="nl-NL"/>
        </w:rPr>
        <w:t>patiënten met CLL/SLL die eerder werden behandeld met een BTK-remmer. Patiënten werden gerandomiseerd in een verhouding van 1:1 om ofwel Jaypirca eenmaal daags oraal te krijgen in een dosis van 200 mg tot ziekteprogressie of onaanvaardbare toxiciteit, of naar keuze van de onderzoeker:</w:t>
      </w:r>
    </w:p>
    <w:p w14:paraId="65AB6BE6" w14:textId="1AAD7626" w:rsidR="001D32F2" w:rsidRPr="00D21D8C" w:rsidRDefault="001D32F2" w:rsidP="001D32F2">
      <w:pPr>
        <w:pStyle w:val="PLRBodyTextIndented"/>
        <w:keepNext/>
        <w:numPr>
          <w:ilvl w:val="0"/>
          <w:numId w:val="20"/>
        </w:numPr>
        <w:rPr>
          <w:rFonts w:asciiTheme="majorBidi" w:hAnsiTheme="majorBidi" w:cstheme="majorBidi"/>
          <w:szCs w:val="22"/>
          <w:lang w:val="nl-NL"/>
        </w:rPr>
      </w:pPr>
      <w:r w:rsidRPr="00D21D8C">
        <w:rPr>
          <w:rFonts w:asciiTheme="majorBidi" w:hAnsiTheme="majorBidi" w:cstheme="majorBidi"/>
          <w:szCs w:val="22"/>
          <w:lang w:val="nl-NL"/>
        </w:rPr>
        <w:t xml:space="preserve">Idelalisib plus een rituximab-product (IR): </w:t>
      </w:r>
      <w:r w:rsidR="00CC460B" w:rsidRPr="00D21D8C">
        <w:rPr>
          <w:rFonts w:asciiTheme="majorBidi" w:hAnsiTheme="majorBidi" w:cstheme="majorBidi"/>
          <w:szCs w:val="22"/>
          <w:lang w:val="nl-NL"/>
        </w:rPr>
        <w:t>i</w:t>
      </w:r>
      <w:r w:rsidRPr="00D21D8C">
        <w:rPr>
          <w:rFonts w:asciiTheme="majorBidi" w:hAnsiTheme="majorBidi" w:cstheme="majorBidi"/>
          <w:szCs w:val="22"/>
          <w:lang w:val="nl-NL"/>
        </w:rPr>
        <w:t>delalisib 150</w:t>
      </w:r>
      <w:r w:rsidR="008D16E1" w:rsidRPr="00D21D8C">
        <w:rPr>
          <w:rFonts w:asciiTheme="majorBidi" w:hAnsiTheme="majorBidi" w:cstheme="majorBidi"/>
          <w:szCs w:val="22"/>
          <w:lang w:val="nl-NL"/>
        </w:rPr>
        <w:t> </w:t>
      </w:r>
      <w:r w:rsidRPr="00D21D8C">
        <w:rPr>
          <w:rFonts w:asciiTheme="majorBidi" w:hAnsiTheme="majorBidi" w:cstheme="majorBidi"/>
          <w:szCs w:val="22"/>
          <w:lang w:val="nl-NL"/>
        </w:rPr>
        <w:t>mg oraal tweemaal daags tot ziekteprogressie of onaanvaardbare toxiciteit, in combinatie met 8 infusies van een rituximab</w:t>
      </w:r>
      <w:r w:rsidR="00FB1A34">
        <w:rPr>
          <w:rFonts w:asciiTheme="majorBidi" w:hAnsiTheme="majorBidi" w:cstheme="majorBidi"/>
          <w:szCs w:val="22"/>
          <w:lang w:val="nl-NL"/>
        </w:rPr>
        <w:noBreakHyphen/>
      </w:r>
      <w:r w:rsidRPr="00D21D8C">
        <w:rPr>
          <w:rFonts w:asciiTheme="majorBidi" w:hAnsiTheme="majorBidi" w:cstheme="majorBidi"/>
          <w:szCs w:val="22"/>
          <w:lang w:val="nl-NL"/>
        </w:rPr>
        <w:t>product (375</w:t>
      </w:r>
      <w:r w:rsidR="00B65B3C" w:rsidRPr="00D21D8C">
        <w:rPr>
          <w:rFonts w:asciiTheme="majorBidi" w:hAnsiTheme="majorBidi" w:cstheme="majorBidi"/>
          <w:szCs w:val="22"/>
          <w:lang w:val="nl-NL"/>
        </w:rPr>
        <w:t> </w:t>
      </w:r>
      <w:r w:rsidRPr="00D21D8C">
        <w:rPr>
          <w:rFonts w:asciiTheme="majorBidi" w:hAnsiTheme="majorBidi" w:cstheme="majorBidi"/>
          <w:szCs w:val="22"/>
          <w:lang w:val="nl-NL"/>
        </w:rPr>
        <w:t>mg/m</w:t>
      </w:r>
      <w:r w:rsidRPr="000D0EC8">
        <w:rPr>
          <w:rFonts w:asciiTheme="majorBidi" w:hAnsiTheme="majorBidi" w:cstheme="majorBidi"/>
          <w:szCs w:val="22"/>
          <w:vertAlign w:val="superscript"/>
          <w:lang w:val="nl-NL"/>
        </w:rPr>
        <w:t>2</w:t>
      </w:r>
      <w:r w:rsidRPr="00D21D8C">
        <w:rPr>
          <w:rFonts w:asciiTheme="majorBidi" w:hAnsiTheme="majorBidi" w:cstheme="majorBidi"/>
          <w:szCs w:val="22"/>
          <w:lang w:val="nl-NL"/>
        </w:rPr>
        <w:t xml:space="preserve"> intraveneus op dag 1 van cyclus 1, gevolgd door 500</w:t>
      </w:r>
      <w:r w:rsidR="008D16E1" w:rsidRPr="00D21D8C">
        <w:rPr>
          <w:rFonts w:asciiTheme="majorBidi" w:hAnsiTheme="majorBidi" w:cstheme="majorBidi"/>
          <w:szCs w:val="22"/>
          <w:lang w:val="nl-NL"/>
        </w:rPr>
        <w:t> </w:t>
      </w:r>
      <w:r w:rsidRPr="00D21D8C">
        <w:rPr>
          <w:rFonts w:asciiTheme="majorBidi" w:hAnsiTheme="majorBidi" w:cstheme="majorBidi"/>
          <w:szCs w:val="22"/>
          <w:lang w:val="nl-NL"/>
        </w:rPr>
        <w:t>mg/m</w:t>
      </w:r>
      <w:r w:rsidRPr="000D0EC8">
        <w:rPr>
          <w:rFonts w:asciiTheme="majorBidi" w:hAnsiTheme="majorBidi" w:cstheme="majorBidi"/>
          <w:szCs w:val="22"/>
          <w:vertAlign w:val="superscript"/>
          <w:lang w:val="nl-NL"/>
        </w:rPr>
        <w:t>2</w:t>
      </w:r>
      <w:r w:rsidRPr="00D21D8C">
        <w:rPr>
          <w:rFonts w:asciiTheme="majorBidi" w:hAnsiTheme="majorBidi" w:cstheme="majorBidi"/>
          <w:szCs w:val="22"/>
          <w:lang w:val="nl-NL"/>
        </w:rPr>
        <w:t xml:space="preserve"> elke 2 weken voor 4 doses en vervolgens elke 4 weken voor 3 doses), met een cyclusduur van 28 dagen.</w:t>
      </w:r>
    </w:p>
    <w:p w14:paraId="004C0026" w14:textId="0B9A4CBA" w:rsidR="008E636B" w:rsidRPr="00D21D8C" w:rsidRDefault="001D32F2" w:rsidP="000D0EC8">
      <w:pPr>
        <w:pStyle w:val="PLRBodyTextIndented"/>
        <w:keepNext/>
        <w:numPr>
          <w:ilvl w:val="0"/>
          <w:numId w:val="20"/>
        </w:numPr>
        <w:rPr>
          <w:rFonts w:asciiTheme="majorBidi" w:hAnsiTheme="majorBidi" w:cstheme="majorBidi"/>
          <w:szCs w:val="22"/>
          <w:lang w:val="nl-NL"/>
        </w:rPr>
      </w:pPr>
      <w:r w:rsidRPr="00D21D8C">
        <w:rPr>
          <w:rFonts w:asciiTheme="majorBidi" w:hAnsiTheme="majorBidi" w:cstheme="majorBidi"/>
          <w:szCs w:val="22"/>
          <w:lang w:val="nl-NL"/>
        </w:rPr>
        <w:t xml:space="preserve">Bendamustine plus een rituximab-product (BR): </w:t>
      </w:r>
      <w:r w:rsidR="00CC460B" w:rsidRPr="00D21D8C">
        <w:rPr>
          <w:rFonts w:asciiTheme="majorBidi" w:hAnsiTheme="majorBidi" w:cstheme="majorBidi"/>
          <w:szCs w:val="22"/>
          <w:lang w:val="nl-NL"/>
        </w:rPr>
        <w:t>b</w:t>
      </w:r>
      <w:r w:rsidRPr="00D21D8C">
        <w:rPr>
          <w:rFonts w:asciiTheme="majorBidi" w:hAnsiTheme="majorBidi" w:cstheme="majorBidi"/>
          <w:szCs w:val="22"/>
          <w:lang w:val="nl-NL"/>
        </w:rPr>
        <w:t>endamustine 70</w:t>
      </w:r>
      <w:r w:rsidR="008D16E1" w:rsidRPr="00D21D8C">
        <w:rPr>
          <w:rFonts w:asciiTheme="majorBidi" w:hAnsiTheme="majorBidi" w:cstheme="majorBidi"/>
          <w:szCs w:val="22"/>
          <w:lang w:val="nl-NL"/>
        </w:rPr>
        <w:t> </w:t>
      </w:r>
      <w:r w:rsidRPr="00D21D8C">
        <w:rPr>
          <w:rFonts w:asciiTheme="majorBidi" w:hAnsiTheme="majorBidi" w:cstheme="majorBidi"/>
          <w:szCs w:val="22"/>
          <w:lang w:val="nl-NL"/>
        </w:rPr>
        <w:t>mg/m</w:t>
      </w:r>
      <w:r w:rsidRPr="000D0EC8">
        <w:rPr>
          <w:rFonts w:asciiTheme="majorBidi" w:hAnsiTheme="majorBidi" w:cstheme="majorBidi"/>
          <w:szCs w:val="22"/>
          <w:vertAlign w:val="superscript"/>
          <w:lang w:val="nl-NL"/>
        </w:rPr>
        <w:t>2</w:t>
      </w:r>
      <w:r w:rsidRPr="00D21D8C">
        <w:rPr>
          <w:rFonts w:asciiTheme="majorBidi" w:hAnsiTheme="majorBidi" w:cstheme="majorBidi"/>
          <w:szCs w:val="22"/>
          <w:lang w:val="nl-NL"/>
        </w:rPr>
        <w:t xml:space="preserve"> intraveneus (dag</w:t>
      </w:r>
      <w:r w:rsidR="008D16E1" w:rsidRPr="00D21D8C">
        <w:rPr>
          <w:rFonts w:asciiTheme="majorBidi" w:hAnsiTheme="majorBidi" w:cstheme="majorBidi"/>
          <w:szCs w:val="22"/>
          <w:lang w:val="nl-NL"/>
        </w:rPr>
        <w:t> </w:t>
      </w:r>
      <w:r w:rsidRPr="00D21D8C">
        <w:rPr>
          <w:rFonts w:asciiTheme="majorBidi" w:hAnsiTheme="majorBidi" w:cstheme="majorBidi"/>
          <w:szCs w:val="22"/>
          <w:lang w:val="nl-NL"/>
        </w:rPr>
        <w:t>1 en 2 van elke cyclus van 28</w:t>
      </w:r>
      <w:r w:rsidR="008D16E1" w:rsidRPr="00D21D8C">
        <w:rPr>
          <w:rFonts w:asciiTheme="majorBidi" w:hAnsiTheme="majorBidi" w:cstheme="majorBidi"/>
          <w:szCs w:val="22"/>
          <w:lang w:val="nl-NL"/>
        </w:rPr>
        <w:t> </w:t>
      </w:r>
      <w:r w:rsidRPr="00D21D8C">
        <w:rPr>
          <w:rFonts w:asciiTheme="majorBidi" w:hAnsiTheme="majorBidi" w:cstheme="majorBidi"/>
          <w:szCs w:val="22"/>
          <w:lang w:val="nl-NL"/>
        </w:rPr>
        <w:t>dagen), in combinatie met een rituximab-product (375</w:t>
      </w:r>
      <w:r w:rsidR="008D16E1" w:rsidRPr="00D21D8C">
        <w:rPr>
          <w:rFonts w:asciiTheme="majorBidi" w:hAnsiTheme="majorBidi" w:cstheme="majorBidi"/>
          <w:szCs w:val="22"/>
          <w:lang w:val="nl-NL"/>
        </w:rPr>
        <w:t> </w:t>
      </w:r>
      <w:r w:rsidRPr="00D21D8C">
        <w:rPr>
          <w:rFonts w:asciiTheme="majorBidi" w:hAnsiTheme="majorBidi" w:cstheme="majorBidi"/>
          <w:szCs w:val="22"/>
          <w:lang w:val="nl-NL"/>
        </w:rPr>
        <w:t>mg/m</w:t>
      </w:r>
      <w:r w:rsidRPr="000D0EC8">
        <w:rPr>
          <w:rFonts w:asciiTheme="majorBidi" w:hAnsiTheme="majorBidi" w:cstheme="majorBidi"/>
          <w:szCs w:val="22"/>
          <w:vertAlign w:val="superscript"/>
          <w:lang w:val="nl-NL"/>
        </w:rPr>
        <w:t>2</w:t>
      </w:r>
      <w:r w:rsidRPr="00D21D8C">
        <w:rPr>
          <w:rFonts w:asciiTheme="majorBidi" w:hAnsiTheme="majorBidi" w:cstheme="majorBidi"/>
          <w:szCs w:val="22"/>
          <w:lang w:val="nl-NL"/>
        </w:rPr>
        <w:t xml:space="preserve"> intraveneus op dag 1 van cyclus 1, daarna</w:t>
      </w:r>
      <w:r w:rsidR="008D16E1" w:rsidRPr="00D21D8C">
        <w:rPr>
          <w:rFonts w:asciiTheme="majorBidi" w:hAnsiTheme="majorBidi" w:cstheme="majorBidi"/>
          <w:szCs w:val="22"/>
          <w:lang w:val="nl-NL"/>
        </w:rPr>
        <w:t> </w:t>
      </w:r>
      <w:r w:rsidRPr="00D21D8C">
        <w:rPr>
          <w:rFonts w:asciiTheme="majorBidi" w:hAnsiTheme="majorBidi" w:cstheme="majorBidi"/>
          <w:szCs w:val="22"/>
          <w:lang w:val="nl-NL"/>
        </w:rPr>
        <w:t>500 mg/m</w:t>
      </w:r>
      <w:r w:rsidRPr="000D0EC8">
        <w:rPr>
          <w:rFonts w:asciiTheme="majorBidi" w:hAnsiTheme="majorBidi" w:cstheme="majorBidi"/>
          <w:szCs w:val="22"/>
          <w:vertAlign w:val="superscript"/>
          <w:lang w:val="nl-NL"/>
        </w:rPr>
        <w:t>2</w:t>
      </w:r>
      <w:r w:rsidRPr="00D21D8C">
        <w:rPr>
          <w:rFonts w:asciiTheme="majorBidi" w:hAnsiTheme="majorBidi" w:cstheme="majorBidi"/>
          <w:szCs w:val="22"/>
          <w:lang w:val="nl-NL"/>
        </w:rPr>
        <w:t xml:space="preserve"> op dag 1 van volgende cycli), gedurende maximaal 6</w:t>
      </w:r>
      <w:r w:rsidR="008D16E1" w:rsidRPr="00D21D8C">
        <w:rPr>
          <w:rFonts w:asciiTheme="majorBidi" w:hAnsiTheme="majorBidi" w:cstheme="majorBidi"/>
          <w:szCs w:val="22"/>
          <w:lang w:val="nl-NL"/>
        </w:rPr>
        <w:t> </w:t>
      </w:r>
      <w:r w:rsidRPr="00D21D8C">
        <w:rPr>
          <w:rFonts w:asciiTheme="majorBidi" w:hAnsiTheme="majorBidi" w:cstheme="majorBidi"/>
          <w:szCs w:val="22"/>
          <w:lang w:val="nl-NL"/>
        </w:rPr>
        <w:t>cycli.</w:t>
      </w:r>
    </w:p>
    <w:p w14:paraId="26A23EC1" w14:textId="77777777" w:rsidR="001D32F2" w:rsidRPr="00D21D8C" w:rsidRDefault="001D32F2" w:rsidP="001D32F2">
      <w:pPr>
        <w:pStyle w:val="PLRBodyTextIndented"/>
        <w:keepNext/>
        <w:ind w:firstLine="0"/>
        <w:rPr>
          <w:rFonts w:asciiTheme="majorBidi" w:hAnsiTheme="majorBidi" w:cstheme="majorBidi"/>
          <w:szCs w:val="22"/>
          <w:lang w:val="nl-NL"/>
        </w:rPr>
      </w:pPr>
    </w:p>
    <w:p w14:paraId="6171E320" w14:textId="09DA0CE0" w:rsidR="003F6B8A" w:rsidRPr="00D21D8C" w:rsidRDefault="003F6B8A" w:rsidP="001D32F2">
      <w:pPr>
        <w:pStyle w:val="PLRBodyTextIndented"/>
        <w:keepNext/>
        <w:ind w:firstLine="0"/>
        <w:rPr>
          <w:rFonts w:asciiTheme="majorBidi" w:hAnsiTheme="majorBidi" w:cstheme="majorBidi"/>
          <w:szCs w:val="22"/>
          <w:lang w:val="nl-NL"/>
        </w:rPr>
      </w:pPr>
      <w:r w:rsidRPr="00D21D8C">
        <w:rPr>
          <w:rFonts w:asciiTheme="majorBidi" w:hAnsiTheme="majorBidi" w:cstheme="majorBidi"/>
          <w:szCs w:val="22"/>
          <w:lang w:val="nl-NL"/>
        </w:rPr>
        <w:t xml:space="preserve">Randomisatie werd gestratificeerd op basis van 17p-deletiestatus (ja/nee) en ontvangst van eerdere behandeling met venetoclax (ja/nee). Van de in totaal 238 patiënten werden er 119 toegewezen aan Jaypirca monotherapie, 82 aan IR en 37 aan BR. Na bevestigde ziekteprogressie hadden naar IR of BR </w:t>
      </w:r>
      <w:r w:rsidR="00D21D8C" w:rsidRPr="00D21D8C">
        <w:rPr>
          <w:rFonts w:asciiTheme="majorBidi" w:hAnsiTheme="majorBidi" w:cstheme="majorBidi"/>
          <w:szCs w:val="22"/>
          <w:lang w:val="nl-NL"/>
        </w:rPr>
        <w:t xml:space="preserve">gerandomiseerde patiënten </w:t>
      </w:r>
      <w:r w:rsidRPr="00D21D8C">
        <w:rPr>
          <w:rFonts w:asciiTheme="majorBidi" w:hAnsiTheme="majorBidi" w:cstheme="majorBidi"/>
          <w:szCs w:val="22"/>
          <w:lang w:val="nl-NL"/>
        </w:rPr>
        <w:t xml:space="preserve">de mogelijkheid om over te stappen op Jaypirca als monotherapie. De kenmerken </w:t>
      </w:r>
      <w:r w:rsidR="00D21D8C" w:rsidRPr="00D21D8C">
        <w:rPr>
          <w:rFonts w:asciiTheme="majorBidi" w:hAnsiTheme="majorBidi" w:cstheme="majorBidi"/>
          <w:szCs w:val="22"/>
          <w:lang w:val="nl-NL"/>
        </w:rPr>
        <w:t xml:space="preserve">bij baseline </w:t>
      </w:r>
      <w:r w:rsidRPr="00D21D8C">
        <w:rPr>
          <w:rFonts w:asciiTheme="majorBidi" w:hAnsiTheme="majorBidi" w:cstheme="majorBidi"/>
          <w:szCs w:val="22"/>
          <w:lang w:val="nl-NL"/>
        </w:rPr>
        <w:t>waren vergelijkbaar tussen de behandelingsarmen. Over het algemeen was de mediane leeftijd 67</w:t>
      </w:r>
      <w:r w:rsidR="00A4205E" w:rsidRPr="00D21D8C">
        <w:rPr>
          <w:rFonts w:asciiTheme="majorBidi" w:hAnsiTheme="majorBidi" w:cstheme="majorBidi"/>
          <w:szCs w:val="22"/>
          <w:lang w:val="nl-NL"/>
        </w:rPr>
        <w:t> </w:t>
      </w:r>
      <w:r w:rsidRPr="00D21D8C">
        <w:rPr>
          <w:rFonts w:asciiTheme="majorBidi" w:hAnsiTheme="majorBidi" w:cstheme="majorBidi"/>
          <w:szCs w:val="22"/>
          <w:lang w:val="nl-NL"/>
        </w:rPr>
        <w:t>jaar (</w:t>
      </w:r>
      <w:r w:rsidR="001F7210" w:rsidRPr="00D21D8C">
        <w:rPr>
          <w:rFonts w:asciiTheme="majorBidi" w:hAnsiTheme="majorBidi" w:cstheme="majorBidi"/>
          <w:szCs w:val="22"/>
          <w:lang w:val="nl-NL"/>
        </w:rPr>
        <w:t>bereik</w:t>
      </w:r>
      <w:r w:rsidRPr="00D21D8C">
        <w:rPr>
          <w:rFonts w:asciiTheme="majorBidi" w:hAnsiTheme="majorBidi" w:cstheme="majorBidi"/>
          <w:szCs w:val="22"/>
          <w:lang w:val="nl-NL"/>
        </w:rPr>
        <w:t>: 42 tot 90</w:t>
      </w:r>
      <w:r w:rsidR="009B15B6" w:rsidRPr="00D21D8C">
        <w:rPr>
          <w:rFonts w:asciiTheme="majorBidi" w:hAnsiTheme="majorBidi" w:cstheme="majorBidi"/>
          <w:szCs w:val="22"/>
          <w:lang w:val="nl-NL"/>
        </w:rPr>
        <w:t> </w:t>
      </w:r>
      <w:r w:rsidRPr="00D21D8C">
        <w:rPr>
          <w:rFonts w:asciiTheme="majorBidi" w:hAnsiTheme="majorBidi" w:cstheme="majorBidi"/>
          <w:szCs w:val="22"/>
          <w:lang w:val="nl-NL"/>
        </w:rPr>
        <w:t>jaar), 70%</w:t>
      </w:r>
      <w:r w:rsidR="009B15B6" w:rsidRPr="00D21D8C">
        <w:rPr>
          <w:rFonts w:asciiTheme="majorBidi" w:hAnsiTheme="majorBidi" w:cstheme="majorBidi"/>
          <w:szCs w:val="22"/>
          <w:lang w:val="nl-NL"/>
        </w:rPr>
        <w:t> </w:t>
      </w:r>
      <w:r w:rsidRPr="00D21D8C">
        <w:rPr>
          <w:rFonts w:asciiTheme="majorBidi" w:hAnsiTheme="majorBidi" w:cstheme="majorBidi"/>
          <w:szCs w:val="22"/>
          <w:lang w:val="nl-NL"/>
        </w:rPr>
        <w:t>was man en 81%</w:t>
      </w:r>
      <w:r w:rsidR="009B15B6" w:rsidRPr="00D21D8C">
        <w:rPr>
          <w:rFonts w:asciiTheme="majorBidi" w:hAnsiTheme="majorBidi" w:cstheme="majorBidi"/>
          <w:szCs w:val="22"/>
          <w:lang w:val="nl-NL"/>
        </w:rPr>
        <w:t> </w:t>
      </w:r>
      <w:r w:rsidRPr="00D21D8C">
        <w:rPr>
          <w:rFonts w:asciiTheme="majorBidi" w:hAnsiTheme="majorBidi" w:cstheme="majorBidi"/>
          <w:szCs w:val="22"/>
          <w:lang w:val="nl-NL"/>
        </w:rPr>
        <w:t>was blank. De ECOG</w:t>
      </w:r>
      <w:r w:rsidR="00D21D8C" w:rsidRPr="00D21D8C">
        <w:rPr>
          <w:rFonts w:asciiTheme="majorBidi" w:hAnsiTheme="majorBidi" w:cstheme="majorBidi"/>
          <w:szCs w:val="22"/>
          <w:lang w:val="nl-NL"/>
        </w:rPr>
        <w:noBreakHyphen/>
      </w:r>
      <w:r w:rsidRPr="00D21D8C">
        <w:rPr>
          <w:rFonts w:asciiTheme="majorBidi" w:hAnsiTheme="majorBidi" w:cstheme="majorBidi"/>
          <w:szCs w:val="22"/>
          <w:lang w:val="nl-NL"/>
        </w:rPr>
        <w:t xml:space="preserve">prestatiestatus bij </w:t>
      </w:r>
      <w:r w:rsidR="009B15B6" w:rsidRPr="00D21D8C">
        <w:rPr>
          <w:rFonts w:asciiTheme="majorBidi" w:hAnsiTheme="majorBidi" w:cstheme="majorBidi"/>
          <w:szCs w:val="22"/>
          <w:lang w:val="nl-NL"/>
        </w:rPr>
        <w:t>baseline</w:t>
      </w:r>
      <w:r w:rsidRPr="00D21D8C">
        <w:rPr>
          <w:rFonts w:asciiTheme="majorBidi" w:hAnsiTheme="majorBidi" w:cstheme="majorBidi"/>
          <w:szCs w:val="22"/>
          <w:lang w:val="nl-NL"/>
        </w:rPr>
        <w:t xml:space="preserve"> was 0 of 1 bij 93%</w:t>
      </w:r>
      <w:r w:rsidR="009B15B6" w:rsidRPr="00D21D8C">
        <w:rPr>
          <w:rFonts w:asciiTheme="majorBidi" w:hAnsiTheme="majorBidi" w:cstheme="majorBidi"/>
          <w:szCs w:val="22"/>
          <w:lang w:val="nl-NL"/>
        </w:rPr>
        <w:t> </w:t>
      </w:r>
      <w:r w:rsidRPr="00D21D8C">
        <w:rPr>
          <w:rFonts w:asciiTheme="majorBidi" w:hAnsiTheme="majorBidi" w:cstheme="majorBidi"/>
          <w:szCs w:val="22"/>
          <w:lang w:val="nl-NL"/>
        </w:rPr>
        <w:t>van de patiënten en 44%</w:t>
      </w:r>
      <w:r w:rsidR="009B15B6" w:rsidRPr="00D21D8C">
        <w:rPr>
          <w:rFonts w:asciiTheme="majorBidi" w:hAnsiTheme="majorBidi" w:cstheme="majorBidi"/>
          <w:szCs w:val="22"/>
          <w:lang w:val="nl-NL"/>
        </w:rPr>
        <w:t> </w:t>
      </w:r>
      <w:r w:rsidRPr="00D21D8C">
        <w:rPr>
          <w:rFonts w:asciiTheme="majorBidi" w:hAnsiTheme="majorBidi" w:cstheme="majorBidi"/>
          <w:szCs w:val="22"/>
          <w:lang w:val="nl-NL"/>
        </w:rPr>
        <w:t>van de patiënten had ziekte</w:t>
      </w:r>
      <w:r w:rsidR="00D21D8C" w:rsidRPr="00D21D8C">
        <w:rPr>
          <w:rFonts w:asciiTheme="majorBidi" w:hAnsiTheme="majorBidi" w:cstheme="majorBidi"/>
          <w:szCs w:val="22"/>
          <w:lang w:val="nl-NL"/>
        </w:rPr>
        <w:t xml:space="preserve"> in Rai-stadium III of IV</w:t>
      </w:r>
      <w:r w:rsidRPr="00D21D8C">
        <w:rPr>
          <w:rFonts w:asciiTheme="majorBidi" w:hAnsiTheme="majorBidi" w:cstheme="majorBidi"/>
          <w:szCs w:val="22"/>
          <w:lang w:val="nl-NL"/>
        </w:rPr>
        <w:t>. Van de patiënten waarvoor centrale testen beschikbaar waren, had 57%</w:t>
      </w:r>
      <w:r w:rsidR="001F7210" w:rsidRPr="00D21D8C">
        <w:rPr>
          <w:rFonts w:asciiTheme="majorBidi" w:hAnsiTheme="majorBidi" w:cstheme="majorBidi"/>
          <w:szCs w:val="22"/>
          <w:lang w:val="nl-NL"/>
        </w:rPr>
        <w:t> </w:t>
      </w:r>
      <w:r w:rsidRPr="00D21D8C">
        <w:rPr>
          <w:rFonts w:asciiTheme="majorBidi" w:hAnsiTheme="majorBidi" w:cstheme="majorBidi"/>
          <w:szCs w:val="22"/>
          <w:lang w:val="nl-NL"/>
        </w:rPr>
        <w:t>(101</w:t>
      </w:r>
      <w:r w:rsidR="001F7210" w:rsidRPr="00D21D8C">
        <w:rPr>
          <w:rFonts w:asciiTheme="majorBidi" w:hAnsiTheme="majorBidi" w:cstheme="majorBidi"/>
          <w:szCs w:val="22"/>
          <w:lang w:val="nl-NL"/>
        </w:rPr>
        <w:t> </w:t>
      </w:r>
      <w:r w:rsidRPr="00D21D8C">
        <w:rPr>
          <w:rFonts w:asciiTheme="majorBidi" w:hAnsiTheme="majorBidi" w:cstheme="majorBidi"/>
          <w:szCs w:val="22"/>
          <w:lang w:val="nl-NL"/>
        </w:rPr>
        <w:t>van de 176</w:t>
      </w:r>
      <w:r w:rsidR="001F7210" w:rsidRPr="00D21D8C">
        <w:rPr>
          <w:rFonts w:asciiTheme="majorBidi" w:hAnsiTheme="majorBidi" w:cstheme="majorBidi"/>
          <w:szCs w:val="22"/>
          <w:lang w:val="nl-NL"/>
        </w:rPr>
        <w:t> </w:t>
      </w:r>
      <w:r w:rsidRPr="00D21D8C">
        <w:rPr>
          <w:rFonts w:asciiTheme="majorBidi" w:hAnsiTheme="majorBidi" w:cstheme="majorBidi"/>
          <w:szCs w:val="22"/>
          <w:lang w:val="nl-NL"/>
        </w:rPr>
        <w:t>patiënten) 17p-deletie en/of TP53-mutatie, 86%</w:t>
      </w:r>
      <w:r w:rsidR="001F7210" w:rsidRPr="00D21D8C">
        <w:rPr>
          <w:rFonts w:asciiTheme="majorBidi" w:hAnsiTheme="majorBidi" w:cstheme="majorBidi"/>
          <w:szCs w:val="22"/>
          <w:lang w:val="nl-NL"/>
        </w:rPr>
        <w:t> </w:t>
      </w:r>
      <w:r w:rsidRPr="00D21D8C">
        <w:rPr>
          <w:rFonts w:asciiTheme="majorBidi" w:hAnsiTheme="majorBidi" w:cstheme="majorBidi"/>
          <w:szCs w:val="22"/>
          <w:lang w:val="nl-NL"/>
        </w:rPr>
        <w:t>(164 van de 190</w:t>
      </w:r>
      <w:r w:rsidR="001F7210" w:rsidRPr="00D21D8C">
        <w:rPr>
          <w:rFonts w:asciiTheme="majorBidi" w:hAnsiTheme="majorBidi" w:cstheme="majorBidi"/>
          <w:szCs w:val="22"/>
          <w:lang w:val="nl-NL"/>
        </w:rPr>
        <w:t> </w:t>
      </w:r>
      <w:r w:rsidRPr="00D21D8C">
        <w:rPr>
          <w:rFonts w:asciiTheme="majorBidi" w:hAnsiTheme="majorBidi" w:cstheme="majorBidi"/>
          <w:szCs w:val="22"/>
          <w:lang w:val="nl-NL"/>
        </w:rPr>
        <w:t xml:space="preserve">patiënten) had een </w:t>
      </w:r>
      <w:r w:rsidR="0089495B" w:rsidRPr="00D21D8C">
        <w:rPr>
          <w:rFonts w:asciiTheme="majorBidi" w:hAnsiTheme="majorBidi" w:cstheme="majorBidi"/>
          <w:szCs w:val="22"/>
          <w:lang w:val="nl-NL"/>
        </w:rPr>
        <w:t>on</w:t>
      </w:r>
      <w:r w:rsidRPr="00D21D8C">
        <w:rPr>
          <w:rFonts w:asciiTheme="majorBidi" w:hAnsiTheme="majorBidi" w:cstheme="majorBidi"/>
          <w:szCs w:val="22"/>
          <w:lang w:val="nl-NL"/>
        </w:rPr>
        <w:t xml:space="preserve">gemuteerd </w:t>
      </w:r>
      <w:r w:rsidR="001F7210" w:rsidRPr="00D21D8C">
        <w:rPr>
          <w:rFonts w:asciiTheme="majorBidi" w:hAnsiTheme="majorBidi" w:cstheme="majorBidi"/>
          <w:szCs w:val="22"/>
          <w:lang w:val="nl-NL"/>
        </w:rPr>
        <w:t>IGHV</w:t>
      </w:r>
      <w:r w:rsidRPr="00D21D8C">
        <w:rPr>
          <w:rFonts w:asciiTheme="majorBidi" w:hAnsiTheme="majorBidi" w:cstheme="majorBidi"/>
          <w:szCs w:val="22"/>
          <w:lang w:val="nl-NL"/>
        </w:rPr>
        <w:t xml:space="preserve"> en 65% (97 van de 149) had een complex karyotype.</w:t>
      </w:r>
    </w:p>
    <w:p w14:paraId="431290AC" w14:textId="77777777" w:rsidR="003F6B8A" w:rsidRPr="00D21D8C" w:rsidRDefault="003F6B8A" w:rsidP="001D32F2">
      <w:pPr>
        <w:pStyle w:val="PLRBodyTextIndented"/>
        <w:keepNext/>
        <w:ind w:firstLine="0"/>
        <w:rPr>
          <w:rFonts w:asciiTheme="majorBidi" w:hAnsiTheme="majorBidi" w:cstheme="majorBidi"/>
          <w:szCs w:val="22"/>
          <w:lang w:val="nl-NL"/>
        </w:rPr>
      </w:pPr>
    </w:p>
    <w:p w14:paraId="6F19D038" w14:textId="0D2CADBE" w:rsidR="003F6B8A" w:rsidRPr="00D21D8C" w:rsidRDefault="00EC3C5B" w:rsidP="001D32F2">
      <w:pPr>
        <w:pStyle w:val="PLRBodyTextIndented"/>
        <w:keepNext/>
        <w:ind w:firstLine="0"/>
        <w:rPr>
          <w:rFonts w:asciiTheme="majorBidi" w:hAnsiTheme="majorBidi" w:cstheme="majorBidi"/>
          <w:szCs w:val="22"/>
          <w:lang w:val="nl-NL"/>
        </w:rPr>
      </w:pPr>
      <w:r w:rsidRPr="00D21D8C">
        <w:rPr>
          <w:rFonts w:asciiTheme="majorBidi" w:hAnsiTheme="majorBidi" w:cstheme="majorBidi"/>
          <w:szCs w:val="22"/>
          <w:lang w:val="nl-NL"/>
        </w:rPr>
        <w:t>Patiënten kregen een mediaan aantal van 3 eerdere therapielijnen (bereik: 1 tot 13), waarbij 57% ten minste 3 eerdere therapieën had gehad en 51% eerder met BCL2-remmers was behandeld. De meest voorkomende eerdere BTK-remmers die werden ontvangen waren ibrutinib (87%), acalabrutinib</w:t>
      </w:r>
      <w:r w:rsidR="004D70CA" w:rsidRPr="00D21D8C">
        <w:rPr>
          <w:rFonts w:asciiTheme="majorBidi" w:hAnsiTheme="majorBidi" w:cstheme="majorBidi"/>
          <w:szCs w:val="22"/>
          <w:lang w:val="nl-NL"/>
        </w:rPr>
        <w:t> </w:t>
      </w:r>
      <w:r w:rsidRPr="00D21D8C">
        <w:rPr>
          <w:rFonts w:asciiTheme="majorBidi" w:hAnsiTheme="majorBidi" w:cstheme="majorBidi"/>
          <w:szCs w:val="22"/>
          <w:lang w:val="nl-NL"/>
        </w:rPr>
        <w:t>(16%) en zanubrutinib (7%). 70% van de patiënten stopte met de meest recente BTK</w:t>
      </w:r>
      <w:r w:rsidR="00D21D8C" w:rsidRPr="00D21D8C">
        <w:rPr>
          <w:rFonts w:asciiTheme="majorBidi" w:hAnsiTheme="majorBidi" w:cstheme="majorBidi"/>
          <w:szCs w:val="22"/>
          <w:lang w:val="nl-NL"/>
        </w:rPr>
        <w:noBreakHyphen/>
      </w:r>
      <w:r w:rsidRPr="00D21D8C">
        <w:rPr>
          <w:rFonts w:asciiTheme="majorBidi" w:hAnsiTheme="majorBidi" w:cstheme="majorBidi"/>
          <w:szCs w:val="22"/>
          <w:lang w:val="nl-NL"/>
        </w:rPr>
        <w:t>remmer vanwege refractaire of progressieve ziekte, 15% stopte met de behandeling vanwege toxiciteit en 15% stopte met de behandeling om andere redenen.</w:t>
      </w:r>
    </w:p>
    <w:p w14:paraId="68F2AB30" w14:textId="77777777" w:rsidR="00EC3C5B" w:rsidRPr="00D21D8C" w:rsidRDefault="00EC3C5B" w:rsidP="001D32F2">
      <w:pPr>
        <w:pStyle w:val="PLRBodyTextIndented"/>
        <w:keepNext/>
        <w:ind w:firstLine="0"/>
        <w:rPr>
          <w:rFonts w:asciiTheme="majorBidi" w:hAnsiTheme="majorBidi" w:cstheme="majorBidi"/>
          <w:szCs w:val="22"/>
          <w:lang w:val="nl-NL"/>
        </w:rPr>
      </w:pPr>
    </w:p>
    <w:p w14:paraId="763AC043" w14:textId="42CC0A24" w:rsidR="001A274F" w:rsidRPr="00D21D8C" w:rsidRDefault="005B550D" w:rsidP="003163C2">
      <w:pPr>
        <w:spacing w:line="240" w:lineRule="auto"/>
        <w:rPr>
          <w:rFonts w:asciiTheme="majorBidi" w:hAnsiTheme="majorBidi" w:cstheme="majorBidi"/>
          <w:szCs w:val="22"/>
        </w:rPr>
      </w:pPr>
      <w:r w:rsidRPr="00D21D8C">
        <w:rPr>
          <w:rFonts w:asciiTheme="majorBidi" w:hAnsiTheme="majorBidi" w:cstheme="majorBidi"/>
          <w:szCs w:val="22"/>
        </w:rPr>
        <w:t>De werkzaamheid was gebaseerd op progressievrije overleving (PFS) van pirtobrutinib monotherapie versus de keuzearm van de onderzoeker, zoals beoordeeld door een onafhankelijke beoordelingscommissie (IRC</w:t>
      </w:r>
      <w:r w:rsidR="003163C2" w:rsidRPr="00D21D8C">
        <w:rPr>
          <w:rFonts w:asciiTheme="majorBidi" w:hAnsiTheme="majorBidi" w:cstheme="majorBidi"/>
          <w:szCs w:val="22"/>
        </w:rPr>
        <w:t xml:space="preserve">, </w:t>
      </w:r>
      <w:r w:rsidR="003163C2" w:rsidRPr="000D0EC8">
        <w:rPr>
          <w:i/>
          <w:iCs/>
          <w:szCs w:val="22"/>
        </w:rPr>
        <w:t>Independent Review Committee</w:t>
      </w:r>
      <w:r w:rsidRPr="00D21D8C">
        <w:rPr>
          <w:rFonts w:asciiTheme="majorBidi" w:hAnsiTheme="majorBidi" w:cstheme="majorBidi"/>
          <w:szCs w:val="22"/>
        </w:rPr>
        <w:t xml:space="preserve">). </w:t>
      </w:r>
      <w:r w:rsidR="00376092" w:rsidRPr="00D21D8C">
        <w:rPr>
          <w:rFonts w:asciiTheme="majorBidi" w:hAnsiTheme="majorBidi" w:cstheme="majorBidi"/>
          <w:szCs w:val="22"/>
        </w:rPr>
        <w:t xml:space="preserve">Het onderzoek </w:t>
      </w:r>
      <w:r w:rsidRPr="00D21D8C">
        <w:rPr>
          <w:rFonts w:asciiTheme="majorBidi" w:hAnsiTheme="majorBidi" w:cstheme="majorBidi"/>
          <w:szCs w:val="22"/>
        </w:rPr>
        <w:t xml:space="preserve">bereikte </w:t>
      </w:r>
      <w:r w:rsidR="00376092" w:rsidRPr="00D21D8C">
        <w:rPr>
          <w:rFonts w:asciiTheme="majorBidi" w:hAnsiTheme="majorBidi" w:cstheme="majorBidi"/>
          <w:szCs w:val="22"/>
        </w:rPr>
        <w:t>haar</w:t>
      </w:r>
      <w:r w:rsidRPr="00D21D8C">
        <w:rPr>
          <w:rFonts w:asciiTheme="majorBidi" w:hAnsiTheme="majorBidi" w:cstheme="majorBidi"/>
          <w:szCs w:val="22"/>
        </w:rPr>
        <w:t xml:space="preserve"> primaire eindpunt op het vooraf gespecificeerde tijdstip van eindanalyse voor IRC-beoordeelde PFS (</w:t>
      </w:r>
      <w:r w:rsidR="00BA5209" w:rsidRPr="00D21D8C">
        <w:rPr>
          <w:rFonts w:asciiTheme="majorBidi" w:eastAsia="Arial" w:hAnsiTheme="majorBidi" w:cstheme="majorBidi"/>
          <w:color w:val="000000"/>
          <w:szCs w:val="22"/>
          <w:u w:color="FFFFFF"/>
        </w:rPr>
        <w:t xml:space="preserve">sluiting </w:t>
      </w:r>
      <w:r w:rsidRPr="00D21D8C">
        <w:rPr>
          <w:rFonts w:asciiTheme="majorBidi" w:hAnsiTheme="majorBidi" w:cstheme="majorBidi"/>
          <w:szCs w:val="22"/>
        </w:rPr>
        <w:t>29</w:t>
      </w:r>
      <w:r w:rsidR="003163C2" w:rsidRPr="00D21D8C">
        <w:rPr>
          <w:rFonts w:asciiTheme="majorBidi" w:hAnsiTheme="majorBidi" w:cstheme="majorBidi"/>
          <w:szCs w:val="22"/>
        </w:rPr>
        <w:t> </w:t>
      </w:r>
      <w:r w:rsidRPr="00D21D8C">
        <w:rPr>
          <w:rFonts w:asciiTheme="majorBidi" w:hAnsiTheme="majorBidi" w:cstheme="majorBidi"/>
          <w:szCs w:val="22"/>
        </w:rPr>
        <w:t xml:space="preserve">augustus 2023). Bij een bijgewerkte analyse </w:t>
      </w:r>
      <w:r w:rsidR="00604D4C" w:rsidRPr="00D21D8C">
        <w:rPr>
          <w:rFonts w:asciiTheme="majorBidi" w:hAnsiTheme="majorBidi" w:cstheme="majorBidi"/>
          <w:szCs w:val="22"/>
        </w:rPr>
        <w:t>(</w:t>
      </w:r>
      <w:r w:rsidR="00BA5209" w:rsidRPr="00D21D8C">
        <w:rPr>
          <w:rFonts w:asciiTheme="majorBidi" w:eastAsia="Arial" w:hAnsiTheme="majorBidi" w:cstheme="majorBidi"/>
          <w:color w:val="000000"/>
          <w:szCs w:val="22"/>
          <w:u w:color="FFFFFF"/>
        </w:rPr>
        <w:t xml:space="preserve">sluiting </w:t>
      </w:r>
      <w:r w:rsidRPr="00D21D8C">
        <w:rPr>
          <w:rFonts w:asciiTheme="majorBidi" w:hAnsiTheme="majorBidi" w:cstheme="majorBidi"/>
          <w:szCs w:val="22"/>
        </w:rPr>
        <w:t>29</w:t>
      </w:r>
      <w:r w:rsidR="00EB234C" w:rsidRPr="00D21D8C">
        <w:rPr>
          <w:rFonts w:asciiTheme="majorBidi" w:hAnsiTheme="majorBidi" w:cstheme="majorBidi"/>
          <w:szCs w:val="22"/>
        </w:rPr>
        <w:t> </w:t>
      </w:r>
      <w:r w:rsidRPr="00D21D8C">
        <w:rPr>
          <w:rFonts w:asciiTheme="majorBidi" w:hAnsiTheme="majorBidi" w:cstheme="majorBidi"/>
          <w:szCs w:val="22"/>
        </w:rPr>
        <w:t>augustus 2024) met een mediane follow</w:t>
      </w:r>
      <w:r w:rsidR="00FB1A34">
        <w:rPr>
          <w:rFonts w:asciiTheme="majorBidi" w:hAnsiTheme="majorBidi" w:cstheme="majorBidi"/>
          <w:szCs w:val="22"/>
        </w:rPr>
        <w:noBreakHyphen/>
      </w:r>
      <w:r w:rsidRPr="00D21D8C">
        <w:rPr>
          <w:rFonts w:asciiTheme="majorBidi" w:hAnsiTheme="majorBidi" w:cstheme="majorBidi"/>
          <w:szCs w:val="22"/>
        </w:rPr>
        <w:t>up van 19,4</w:t>
      </w:r>
      <w:r w:rsidR="00EB234C" w:rsidRPr="00D21D8C">
        <w:rPr>
          <w:rFonts w:asciiTheme="majorBidi" w:hAnsiTheme="majorBidi" w:cstheme="majorBidi"/>
          <w:szCs w:val="22"/>
        </w:rPr>
        <w:t> </w:t>
      </w:r>
      <w:r w:rsidRPr="00D21D8C">
        <w:rPr>
          <w:rFonts w:asciiTheme="majorBidi" w:hAnsiTheme="majorBidi" w:cstheme="majorBidi"/>
          <w:szCs w:val="22"/>
        </w:rPr>
        <w:t>maanden (bereik 0,03 tot 33,3</w:t>
      </w:r>
      <w:r w:rsidR="00EB234C" w:rsidRPr="00D21D8C">
        <w:rPr>
          <w:rFonts w:asciiTheme="majorBidi" w:hAnsiTheme="majorBidi" w:cstheme="majorBidi"/>
          <w:szCs w:val="22"/>
        </w:rPr>
        <w:t> </w:t>
      </w:r>
      <w:r w:rsidRPr="00D21D8C">
        <w:rPr>
          <w:rFonts w:asciiTheme="majorBidi" w:hAnsiTheme="majorBidi" w:cstheme="majorBidi"/>
          <w:szCs w:val="22"/>
        </w:rPr>
        <w:t>maanden) voor pirtobrutinib en 17,7</w:t>
      </w:r>
      <w:r w:rsidR="00EB234C" w:rsidRPr="00D21D8C">
        <w:rPr>
          <w:rFonts w:asciiTheme="majorBidi" w:hAnsiTheme="majorBidi" w:cstheme="majorBidi"/>
          <w:szCs w:val="22"/>
        </w:rPr>
        <w:t> </w:t>
      </w:r>
      <w:r w:rsidRPr="00D21D8C">
        <w:rPr>
          <w:rFonts w:asciiTheme="majorBidi" w:hAnsiTheme="majorBidi" w:cstheme="majorBidi"/>
          <w:szCs w:val="22"/>
        </w:rPr>
        <w:t>maanden (bereik 0,03 tot 27,9</w:t>
      </w:r>
      <w:r w:rsidR="00EB234C" w:rsidRPr="00D21D8C">
        <w:rPr>
          <w:rFonts w:asciiTheme="majorBidi" w:hAnsiTheme="majorBidi" w:cstheme="majorBidi"/>
          <w:szCs w:val="22"/>
        </w:rPr>
        <w:t> </w:t>
      </w:r>
      <w:r w:rsidRPr="00D21D8C">
        <w:rPr>
          <w:rFonts w:asciiTheme="majorBidi" w:hAnsiTheme="majorBidi" w:cstheme="majorBidi"/>
          <w:szCs w:val="22"/>
        </w:rPr>
        <w:t>maanden) voor de keuzearm van de onderzoeker, werd verbeterde IRC</w:t>
      </w:r>
      <w:r w:rsidR="00C77E72">
        <w:rPr>
          <w:rFonts w:asciiTheme="majorBidi" w:hAnsiTheme="majorBidi" w:cstheme="majorBidi"/>
          <w:szCs w:val="22"/>
        </w:rPr>
        <w:noBreakHyphen/>
      </w:r>
      <w:r w:rsidRPr="00D21D8C">
        <w:rPr>
          <w:rFonts w:asciiTheme="majorBidi" w:hAnsiTheme="majorBidi" w:cstheme="majorBidi"/>
          <w:szCs w:val="22"/>
        </w:rPr>
        <w:t>beoordeelde PFS waargenomen met pirtobrutinib in vergelijking met de keuzearm van de onderzoeker</w:t>
      </w:r>
      <w:r w:rsidR="00604D4C" w:rsidRPr="00D21D8C">
        <w:rPr>
          <w:rFonts w:asciiTheme="majorBidi" w:hAnsiTheme="majorBidi" w:cstheme="majorBidi"/>
          <w:szCs w:val="22"/>
        </w:rPr>
        <w:t xml:space="preserve">. Dit was </w:t>
      </w:r>
      <w:r w:rsidRPr="00D21D8C">
        <w:rPr>
          <w:rFonts w:asciiTheme="majorBidi" w:hAnsiTheme="majorBidi" w:cstheme="majorBidi"/>
          <w:szCs w:val="22"/>
        </w:rPr>
        <w:t xml:space="preserve">consistent met de primaire analyse. Klinisch </w:t>
      </w:r>
      <w:r w:rsidR="00604D4C" w:rsidRPr="00D21D8C">
        <w:rPr>
          <w:rFonts w:asciiTheme="majorBidi" w:hAnsiTheme="majorBidi" w:cstheme="majorBidi"/>
          <w:szCs w:val="22"/>
        </w:rPr>
        <w:t>relevante</w:t>
      </w:r>
      <w:r w:rsidRPr="00D21D8C">
        <w:rPr>
          <w:rFonts w:asciiTheme="majorBidi" w:hAnsiTheme="majorBidi" w:cstheme="majorBidi"/>
          <w:szCs w:val="22"/>
        </w:rPr>
        <w:t xml:space="preserve"> werkzaamheidsresultaten ten gunste van pirtobrutinib werden waargenomen in belangrijke subgroepen,</w:t>
      </w:r>
      <w:r w:rsidR="00570930" w:rsidRPr="00D21D8C">
        <w:rPr>
          <w:rFonts w:asciiTheme="majorBidi" w:hAnsiTheme="majorBidi" w:cstheme="majorBidi"/>
          <w:szCs w:val="22"/>
        </w:rPr>
        <w:t xml:space="preserve"> </w:t>
      </w:r>
      <w:r w:rsidR="00604D4C" w:rsidRPr="00D21D8C">
        <w:rPr>
          <w:rFonts w:asciiTheme="majorBidi" w:hAnsiTheme="majorBidi" w:cstheme="majorBidi"/>
          <w:szCs w:val="22"/>
        </w:rPr>
        <w:t>waaronder patiënten die eerdere behandeling met BTK-remmers hadden stopgezet vanwege intolerantie of progressie en ongeacht het aantal en type van eerdere behandelingen.</w:t>
      </w:r>
      <w:r w:rsidRPr="00D21D8C">
        <w:rPr>
          <w:rFonts w:asciiTheme="majorBidi" w:hAnsiTheme="majorBidi" w:cstheme="majorBidi"/>
          <w:szCs w:val="22"/>
        </w:rPr>
        <w:t xml:space="preserve"> De </w:t>
      </w:r>
      <w:r w:rsidR="00524AE0">
        <w:rPr>
          <w:rFonts w:asciiTheme="majorBidi" w:hAnsiTheme="majorBidi" w:cstheme="majorBidi"/>
          <w:szCs w:val="22"/>
        </w:rPr>
        <w:t>werkzaamheids</w:t>
      </w:r>
      <w:r w:rsidRPr="00D21D8C">
        <w:rPr>
          <w:rFonts w:asciiTheme="majorBidi" w:hAnsiTheme="majorBidi" w:cstheme="majorBidi"/>
          <w:szCs w:val="22"/>
        </w:rPr>
        <w:t>resultaten worden weergegeven in tabel</w:t>
      </w:r>
      <w:r w:rsidR="00524AE0">
        <w:rPr>
          <w:rFonts w:asciiTheme="majorBidi" w:hAnsiTheme="majorBidi" w:cstheme="majorBidi"/>
          <w:szCs w:val="22"/>
        </w:rPr>
        <w:t> </w:t>
      </w:r>
      <w:r w:rsidRPr="00D21D8C">
        <w:rPr>
          <w:rFonts w:asciiTheme="majorBidi" w:hAnsiTheme="majorBidi" w:cstheme="majorBidi"/>
          <w:szCs w:val="22"/>
        </w:rPr>
        <w:t>3. De Kaplan-Meier-curve voor PFS wordt weergegeven in figuur 1.</w:t>
      </w:r>
    </w:p>
    <w:p w14:paraId="655B0508" w14:textId="77777777" w:rsidR="00A50155" w:rsidRPr="00D21D8C" w:rsidRDefault="00A50155">
      <w:pPr>
        <w:spacing w:line="240" w:lineRule="auto"/>
        <w:rPr>
          <w:rFonts w:asciiTheme="majorBidi" w:hAnsiTheme="majorBidi" w:cstheme="majorBidi"/>
          <w:szCs w:val="22"/>
        </w:rPr>
      </w:pPr>
    </w:p>
    <w:p w14:paraId="7C8AB742" w14:textId="27655D3D" w:rsidR="00A50155" w:rsidRPr="000D0EC8" w:rsidRDefault="000A4EEA" w:rsidP="000D0EC8">
      <w:pPr>
        <w:keepNext/>
        <w:spacing w:line="240" w:lineRule="auto"/>
        <w:rPr>
          <w:rFonts w:asciiTheme="majorBidi" w:hAnsiTheme="majorBidi" w:cstheme="majorBidi"/>
          <w:b/>
          <w:bCs/>
          <w:szCs w:val="22"/>
        </w:rPr>
      </w:pPr>
      <w:r w:rsidRPr="000D0EC8">
        <w:rPr>
          <w:rFonts w:asciiTheme="majorBidi" w:hAnsiTheme="majorBidi" w:cstheme="majorBidi"/>
          <w:b/>
          <w:bCs/>
          <w:szCs w:val="22"/>
        </w:rPr>
        <w:t>Tabel 3: Werkzaamheidsresultaten per IRC bij patiënten met CLL die eerder zijn behandeld met een BTK-remmer – ITT-populatie (studie 20020)</w:t>
      </w:r>
    </w:p>
    <w:p w14:paraId="2068CAF8" w14:textId="77777777" w:rsidR="000A4EEA" w:rsidRPr="00D21D8C" w:rsidRDefault="000A4EEA" w:rsidP="000D0EC8">
      <w:pPr>
        <w:keepNext/>
        <w:spacing w:line="240" w:lineRule="auto"/>
        <w:rPr>
          <w:rFonts w:asciiTheme="majorBidi" w:hAnsiTheme="majorBidi" w:cstheme="majorBidi"/>
          <w:szCs w:val="22"/>
        </w:rPr>
      </w:pPr>
    </w:p>
    <w:tbl>
      <w:tblPr>
        <w:tblStyle w:val="Tabelraster"/>
        <w:tblW w:w="5000" w:type="pct"/>
        <w:tblLayout w:type="fixed"/>
        <w:tblLook w:val="01E0" w:firstRow="1" w:lastRow="1" w:firstColumn="1" w:lastColumn="1" w:noHBand="0" w:noVBand="0"/>
      </w:tblPr>
      <w:tblGrid>
        <w:gridCol w:w="2812"/>
        <w:gridCol w:w="3124"/>
        <w:gridCol w:w="3124"/>
      </w:tblGrid>
      <w:tr w:rsidR="001A41A5" w:rsidRPr="00D21D8C" w14:paraId="5A235512" w14:textId="77777777" w:rsidTr="00467043">
        <w:trPr>
          <w:trHeight w:val="20"/>
        </w:trPr>
        <w:tc>
          <w:tcPr>
            <w:tcW w:w="1552" w:type="pct"/>
            <w:hideMark/>
          </w:tcPr>
          <w:p w14:paraId="0656A90D" w14:textId="77777777" w:rsidR="001A41A5" w:rsidRPr="000D0EC8" w:rsidRDefault="001A41A5" w:rsidP="001E1ADD">
            <w:pPr>
              <w:pStyle w:val="PLRTableHeading1"/>
              <w:keepNext/>
              <w:keepLines/>
              <w:widowControl w:val="0"/>
              <w:spacing w:before="0" w:after="0"/>
              <w:rPr>
                <w:rFonts w:ascii="Times New Roman" w:hAnsi="Times New Roman" w:cs="Times New Roman"/>
                <w:sz w:val="22"/>
                <w:vertAlign w:val="superscript"/>
                <w:lang w:val="nl-NL"/>
              </w:rPr>
            </w:pPr>
          </w:p>
        </w:tc>
        <w:tc>
          <w:tcPr>
            <w:tcW w:w="1724" w:type="pct"/>
            <w:hideMark/>
          </w:tcPr>
          <w:p w14:paraId="5163F405" w14:textId="77777777" w:rsidR="0068437D" w:rsidRPr="000D0EC8" w:rsidRDefault="0068437D" w:rsidP="001E1ADD">
            <w:pPr>
              <w:pStyle w:val="PLRTableHeading1"/>
              <w:keepNext/>
              <w:keepLines/>
              <w:widowControl w:val="0"/>
              <w:spacing w:before="0" w:after="0"/>
              <w:jc w:val="center"/>
              <w:rPr>
                <w:rFonts w:ascii="Times New Roman" w:hAnsi="Times New Roman" w:cs="Times New Roman"/>
                <w:sz w:val="22"/>
                <w:lang w:val="nl-NL"/>
              </w:rPr>
            </w:pPr>
            <w:r w:rsidRPr="000D0EC8">
              <w:rPr>
                <w:rFonts w:ascii="Times New Roman" w:hAnsi="Times New Roman" w:cs="Times New Roman"/>
                <w:sz w:val="22"/>
                <w:lang w:val="nl-NL"/>
              </w:rPr>
              <w:t xml:space="preserve">Pirtobrutinib 200 mg eenmaal daags </w:t>
            </w:r>
          </w:p>
          <w:p w14:paraId="25C6AD20" w14:textId="6AF4EE39" w:rsidR="001A41A5" w:rsidRPr="000D0EC8" w:rsidRDefault="001A41A5" w:rsidP="001E1ADD">
            <w:pPr>
              <w:pStyle w:val="PLRTableHeading1"/>
              <w:keepNext/>
              <w:keepLines/>
              <w:widowControl w:val="0"/>
              <w:spacing w:before="0" w:after="0"/>
              <w:jc w:val="center"/>
              <w:rPr>
                <w:rFonts w:ascii="Times New Roman" w:hAnsi="Times New Roman" w:cs="Times New Roman"/>
                <w:sz w:val="22"/>
                <w:lang w:val="nl-NL"/>
              </w:rPr>
            </w:pPr>
            <w:r w:rsidRPr="000D0EC8">
              <w:rPr>
                <w:rFonts w:ascii="Times New Roman" w:hAnsi="Times New Roman" w:cs="Times New Roman"/>
                <w:sz w:val="22"/>
                <w:lang w:val="nl-NL"/>
              </w:rPr>
              <w:t>(N = 119)</w:t>
            </w:r>
          </w:p>
        </w:tc>
        <w:tc>
          <w:tcPr>
            <w:tcW w:w="1724" w:type="pct"/>
          </w:tcPr>
          <w:p w14:paraId="6499DF03" w14:textId="11227B2F" w:rsidR="0068437D" w:rsidRPr="00D21D8C" w:rsidRDefault="0068437D" w:rsidP="001E1ADD">
            <w:pPr>
              <w:pStyle w:val="PLRTableHeading1"/>
              <w:keepNext/>
              <w:keepLines/>
              <w:widowControl w:val="0"/>
              <w:spacing w:before="0" w:after="0"/>
              <w:jc w:val="center"/>
              <w:rPr>
                <w:rFonts w:ascii="Times New Roman" w:hAnsi="Times New Roman" w:cs="Times New Roman"/>
                <w:sz w:val="22"/>
                <w:lang w:val="nl-NL"/>
              </w:rPr>
            </w:pPr>
            <w:r w:rsidRPr="000D0EC8">
              <w:rPr>
                <w:rFonts w:ascii="Times New Roman" w:hAnsi="Times New Roman" w:cs="Times New Roman"/>
                <w:sz w:val="22"/>
                <w:lang w:val="nl-NL"/>
              </w:rPr>
              <w:t xml:space="preserve">Keuze van de onderzoeker voor </w:t>
            </w:r>
            <w:r w:rsidR="00370FB5" w:rsidRPr="00D21D8C">
              <w:rPr>
                <w:rFonts w:ascii="Times New Roman" w:hAnsi="Times New Roman" w:cs="Times New Roman"/>
                <w:sz w:val="22"/>
                <w:lang w:val="nl-NL"/>
              </w:rPr>
              <w:t>i</w:t>
            </w:r>
            <w:r w:rsidRPr="000D0EC8">
              <w:rPr>
                <w:rFonts w:ascii="Times New Roman" w:hAnsi="Times New Roman" w:cs="Times New Roman"/>
                <w:sz w:val="22"/>
                <w:lang w:val="nl-NL"/>
              </w:rPr>
              <w:t xml:space="preserve">delalisib plus </w:t>
            </w:r>
            <w:r w:rsidR="00370FB5" w:rsidRPr="00D21D8C">
              <w:rPr>
                <w:rFonts w:ascii="Times New Roman" w:hAnsi="Times New Roman" w:cs="Times New Roman"/>
                <w:sz w:val="22"/>
                <w:lang w:val="nl-NL"/>
              </w:rPr>
              <w:t>r</w:t>
            </w:r>
            <w:r w:rsidRPr="000D0EC8">
              <w:rPr>
                <w:rFonts w:ascii="Times New Roman" w:hAnsi="Times New Roman" w:cs="Times New Roman"/>
                <w:sz w:val="22"/>
                <w:lang w:val="nl-NL"/>
              </w:rPr>
              <w:t xml:space="preserve">ituximab of </w:t>
            </w:r>
            <w:r w:rsidR="00370FB5" w:rsidRPr="00D21D8C">
              <w:rPr>
                <w:rFonts w:ascii="Times New Roman" w:hAnsi="Times New Roman" w:cs="Times New Roman"/>
                <w:sz w:val="22"/>
                <w:lang w:val="nl-NL"/>
              </w:rPr>
              <w:t>b</w:t>
            </w:r>
            <w:r w:rsidRPr="000D0EC8">
              <w:rPr>
                <w:rFonts w:ascii="Times New Roman" w:hAnsi="Times New Roman" w:cs="Times New Roman"/>
                <w:sz w:val="22"/>
                <w:lang w:val="nl-NL"/>
              </w:rPr>
              <w:t xml:space="preserve">endamustine plus </w:t>
            </w:r>
            <w:r w:rsidR="00370FB5" w:rsidRPr="00D21D8C">
              <w:rPr>
                <w:rFonts w:ascii="Times New Roman" w:hAnsi="Times New Roman" w:cs="Times New Roman"/>
                <w:sz w:val="22"/>
                <w:lang w:val="nl-NL"/>
              </w:rPr>
              <w:t>r</w:t>
            </w:r>
            <w:r w:rsidRPr="000D0EC8">
              <w:rPr>
                <w:rFonts w:ascii="Times New Roman" w:hAnsi="Times New Roman" w:cs="Times New Roman"/>
                <w:sz w:val="22"/>
                <w:lang w:val="nl-NL"/>
              </w:rPr>
              <w:t xml:space="preserve">ituximab </w:t>
            </w:r>
          </w:p>
          <w:p w14:paraId="77F05615" w14:textId="383BAE48" w:rsidR="001A41A5" w:rsidRPr="000D0EC8" w:rsidRDefault="001A41A5" w:rsidP="001E1ADD">
            <w:pPr>
              <w:pStyle w:val="PLRTableHeading1"/>
              <w:keepNext/>
              <w:keepLines/>
              <w:widowControl w:val="0"/>
              <w:spacing w:before="0" w:after="0"/>
              <w:jc w:val="center"/>
              <w:rPr>
                <w:rFonts w:ascii="Times New Roman" w:hAnsi="Times New Roman" w:cs="Times New Roman"/>
                <w:sz w:val="22"/>
                <w:lang w:val="nl-NL"/>
              </w:rPr>
            </w:pPr>
            <w:r w:rsidRPr="000D0EC8">
              <w:rPr>
                <w:rFonts w:ascii="Times New Roman" w:hAnsi="Times New Roman" w:cs="Times New Roman"/>
                <w:sz w:val="22"/>
                <w:lang w:val="nl-NL"/>
              </w:rPr>
              <w:t>(N = 119)</w:t>
            </w:r>
          </w:p>
        </w:tc>
      </w:tr>
      <w:tr w:rsidR="001A41A5" w:rsidRPr="00D21D8C" w14:paraId="3E56674E" w14:textId="77777777" w:rsidTr="00467043">
        <w:trPr>
          <w:trHeight w:val="20"/>
        </w:trPr>
        <w:tc>
          <w:tcPr>
            <w:tcW w:w="1552" w:type="pct"/>
          </w:tcPr>
          <w:p w14:paraId="18836DAE" w14:textId="24BCEE17" w:rsidR="001A41A5" w:rsidRPr="00D21D8C" w:rsidRDefault="000F31BA" w:rsidP="00467043">
            <w:pPr>
              <w:pStyle w:val="PLRTable1stLevelIndent"/>
              <w:keepNext/>
              <w:keepLines/>
              <w:widowControl w:val="0"/>
              <w:spacing w:before="0" w:after="0"/>
              <w:rPr>
                <w:rFonts w:ascii="Times New Roman" w:hAnsi="Times New Roman" w:cs="Times New Roman"/>
                <w:b/>
                <w:sz w:val="22"/>
                <w:lang w:val="nl-NL"/>
              </w:rPr>
            </w:pPr>
            <w:r w:rsidRPr="00D21D8C">
              <w:rPr>
                <w:rFonts w:ascii="Times New Roman" w:hAnsi="Times New Roman" w:cs="Times New Roman"/>
                <w:b/>
                <w:sz w:val="22"/>
                <w:lang w:val="nl-NL"/>
              </w:rPr>
              <w:t>Progressievrije overleving</w:t>
            </w:r>
            <w:r w:rsidRPr="000D0EC8">
              <w:rPr>
                <w:rFonts w:ascii="Times New Roman" w:hAnsi="Times New Roman" w:cs="Times New Roman"/>
                <w:b/>
                <w:sz w:val="22"/>
                <w:vertAlign w:val="superscript"/>
                <w:lang w:val="nl-NL"/>
              </w:rPr>
              <w:t>a</w:t>
            </w:r>
          </w:p>
        </w:tc>
        <w:tc>
          <w:tcPr>
            <w:tcW w:w="1724" w:type="pct"/>
          </w:tcPr>
          <w:p w14:paraId="05137366" w14:textId="77777777" w:rsidR="001A41A5" w:rsidRPr="00D21D8C" w:rsidRDefault="001A41A5" w:rsidP="00467043">
            <w:pPr>
              <w:pStyle w:val="PLRTable1stLevelIndent"/>
              <w:keepNext/>
              <w:keepLines/>
              <w:widowControl w:val="0"/>
              <w:spacing w:before="0" w:after="0"/>
              <w:jc w:val="center"/>
              <w:rPr>
                <w:rFonts w:ascii="Times New Roman" w:hAnsi="Times New Roman" w:cs="Times New Roman"/>
                <w:sz w:val="22"/>
                <w:lang w:val="nl-NL"/>
              </w:rPr>
            </w:pPr>
          </w:p>
        </w:tc>
        <w:tc>
          <w:tcPr>
            <w:tcW w:w="1724" w:type="pct"/>
          </w:tcPr>
          <w:p w14:paraId="563EB298" w14:textId="77777777" w:rsidR="001A41A5" w:rsidRPr="00D21D8C" w:rsidRDefault="001A41A5" w:rsidP="00467043">
            <w:pPr>
              <w:pStyle w:val="PLRTable1stLevelIndent"/>
              <w:keepNext/>
              <w:keepLines/>
              <w:widowControl w:val="0"/>
              <w:spacing w:before="0" w:after="0"/>
              <w:jc w:val="center"/>
              <w:rPr>
                <w:rFonts w:ascii="Times New Roman" w:hAnsi="Times New Roman" w:cs="Times New Roman"/>
                <w:sz w:val="22"/>
                <w:lang w:val="nl-NL"/>
              </w:rPr>
            </w:pPr>
          </w:p>
        </w:tc>
      </w:tr>
      <w:tr w:rsidR="001A41A5" w:rsidRPr="00D21D8C" w14:paraId="5137C90E" w14:textId="77777777" w:rsidTr="00467043">
        <w:trPr>
          <w:trHeight w:val="189"/>
        </w:trPr>
        <w:tc>
          <w:tcPr>
            <w:tcW w:w="1552" w:type="pct"/>
          </w:tcPr>
          <w:p w14:paraId="13C5FF5E" w14:textId="2C98409A" w:rsidR="001A41A5" w:rsidRPr="00D21D8C" w:rsidRDefault="005C7E7E" w:rsidP="00467043">
            <w:pPr>
              <w:pStyle w:val="PLRTable2ndLevelIndent"/>
              <w:keepNext/>
              <w:keepLines/>
              <w:widowControl w:val="0"/>
              <w:spacing w:before="0" w:after="0"/>
              <w:ind w:left="111"/>
              <w:rPr>
                <w:rFonts w:ascii="Times New Roman" w:hAnsi="Times New Roman" w:cs="Times New Roman"/>
                <w:sz w:val="22"/>
                <w:lang w:val="nl-NL"/>
              </w:rPr>
            </w:pPr>
            <w:r w:rsidRPr="00D21D8C">
              <w:rPr>
                <w:rFonts w:ascii="Times New Roman" w:hAnsi="Times New Roman" w:cs="Times New Roman"/>
                <w:sz w:val="22"/>
                <w:lang w:val="nl-NL"/>
              </w:rPr>
              <w:t xml:space="preserve">Aantal </w:t>
            </w:r>
            <w:r w:rsidR="00171189" w:rsidRPr="00D21D8C">
              <w:rPr>
                <w:rFonts w:ascii="Times New Roman" w:hAnsi="Times New Roman" w:cs="Times New Roman"/>
                <w:sz w:val="22"/>
                <w:lang w:val="nl-NL"/>
              </w:rPr>
              <w:t>voorvallen</w:t>
            </w:r>
            <w:r w:rsidR="001A41A5" w:rsidRPr="00D21D8C">
              <w:rPr>
                <w:rFonts w:ascii="Times New Roman" w:hAnsi="Times New Roman" w:cs="Times New Roman"/>
                <w:sz w:val="22"/>
                <w:lang w:val="nl-NL"/>
              </w:rPr>
              <w:t>, n</w:t>
            </w:r>
          </w:p>
        </w:tc>
        <w:tc>
          <w:tcPr>
            <w:tcW w:w="1724" w:type="pct"/>
          </w:tcPr>
          <w:p w14:paraId="2DE27F6F" w14:textId="60AE34AE" w:rsidR="001A41A5" w:rsidRPr="00D21D8C" w:rsidRDefault="001A41A5" w:rsidP="00467043">
            <w:pPr>
              <w:pStyle w:val="PLRTable1stLevelIndent"/>
              <w:keepNext/>
              <w:keepLines/>
              <w:widowControl w:val="0"/>
              <w:spacing w:before="0" w:after="0"/>
              <w:jc w:val="center"/>
              <w:rPr>
                <w:rFonts w:ascii="Times New Roman" w:hAnsi="Times New Roman" w:cs="Times New Roman"/>
                <w:sz w:val="22"/>
                <w:lang w:val="nl-NL"/>
              </w:rPr>
            </w:pPr>
            <w:r w:rsidRPr="00D21D8C">
              <w:rPr>
                <w:rFonts w:ascii="Times New Roman" w:hAnsi="Times New Roman" w:cs="Times New Roman"/>
                <w:sz w:val="22"/>
                <w:lang w:val="nl-NL"/>
              </w:rPr>
              <w:t>74 (62%)</w:t>
            </w:r>
          </w:p>
        </w:tc>
        <w:tc>
          <w:tcPr>
            <w:tcW w:w="1724" w:type="pct"/>
          </w:tcPr>
          <w:p w14:paraId="653F8756" w14:textId="31118341" w:rsidR="001A41A5" w:rsidRPr="00D21D8C" w:rsidRDefault="001A41A5" w:rsidP="00467043">
            <w:pPr>
              <w:pStyle w:val="PLRTable1stLevelIndent"/>
              <w:keepNext/>
              <w:keepLines/>
              <w:widowControl w:val="0"/>
              <w:spacing w:before="0" w:after="0"/>
              <w:jc w:val="center"/>
              <w:rPr>
                <w:rFonts w:ascii="Times New Roman" w:hAnsi="Times New Roman" w:cs="Times New Roman"/>
                <w:sz w:val="22"/>
                <w:lang w:val="nl-NL"/>
              </w:rPr>
            </w:pPr>
            <w:r w:rsidRPr="00D21D8C">
              <w:rPr>
                <w:rFonts w:ascii="Times New Roman" w:hAnsi="Times New Roman" w:cs="Times New Roman"/>
                <w:sz w:val="22"/>
                <w:lang w:val="nl-NL"/>
              </w:rPr>
              <w:t>79 (66%)</w:t>
            </w:r>
          </w:p>
        </w:tc>
      </w:tr>
      <w:tr w:rsidR="001A41A5" w:rsidRPr="00D21D8C" w14:paraId="3BAA0AA4" w14:textId="77777777" w:rsidTr="00467043">
        <w:trPr>
          <w:trHeight w:val="20"/>
        </w:trPr>
        <w:tc>
          <w:tcPr>
            <w:tcW w:w="1552" w:type="pct"/>
          </w:tcPr>
          <w:p w14:paraId="6428FD9E" w14:textId="09932B73" w:rsidR="001A41A5" w:rsidRPr="00D21D8C" w:rsidRDefault="00153807" w:rsidP="00467043">
            <w:pPr>
              <w:pStyle w:val="PLRTable2ndLevelIndent"/>
              <w:keepNext/>
              <w:keepLines/>
              <w:widowControl w:val="0"/>
              <w:spacing w:before="0" w:after="0"/>
              <w:ind w:left="380"/>
              <w:rPr>
                <w:rFonts w:ascii="Times New Roman" w:hAnsi="Times New Roman" w:cs="Times New Roman"/>
                <w:sz w:val="22"/>
                <w:lang w:val="nl-NL"/>
              </w:rPr>
            </w:pPr>
            <w:r w:rsidRPr="00D21D8C">
              <w:rPr>
                <w:rFonts w:ascii="Times New Roman" w:hAnsi="Times New Roman" w:cs="Times New Roman"/>
                <w:sz w:val="22"/>
                <w:lang w:val="nl-NL"/>
              </w:rPr>
              <w:t>Ziekteprogressie</w:t>
            </w:r>
          </w:p>
        </w:tc>
        <w:tc>
          <w:tcPr>
            <w:tcW w:w="1724" w:type="pct"/>
          </w:tcPr>
          <w:p w14:paraId="139686F2" w14:textId="18D79C14" w:rsidR="001A41A5" w:rsidRPr="00D21D8C" w:rsidRDefault="001A41A5" w:rsidP="00467043">
            <w:pPr>
              <w:pStyle w:val="PLRTable1stLevelIndent"/>
              <w:keepNext/>
              <w:keepLines/>
              <w:widowControl w:val="0"/>
              <w:spacing w:before="0" w:after="0"/>
              <w:jc w:val="center"/>
              <w:rPr>
                <w:rFonts w:ascii="Times New Roman" w:hAnsi="Times New Roman" w:cs="Times New Roman"/>
                <w:sz w:val="22"/>
                <w:lang w:val="nl-NL"/>
              </w:rPr>
            </w:pPr>
            <w:r w:rsidRPr="00D21D8C">
              <w:rPr>
                <w:rFonts w:ascii="Times New Roman" w:hAnsi="Times New Roman" w:cs="Times New Roman"/>
                <w:sz w:val="22"/>
                <w:lang w:val="nl-NL"/>
              </w:rPr>
              <w:t>60 (50%)</w:t>
            </w:r>
          </w:p>
        </w:tc>
        <w:tc>
          <w:tcPr>
            <w:tcW w:w="1724" w:type="pct"/>
          </w:tcPr>
          <w:p w14:paraId="10C39EA6" w14:textId="3D0B76F4" w:rsidR="001A41A5" w:rsidRPr="00D21D8C" w:rsidRDefault="001A41A5" w:rsidP="00467043">
            <w:pPr>
              <w:pStyle w:val="PLRTable1stLevelIndent"/>
              <w:keepNext/>
              <w:keepLines/>
              <w:widowControl w:val="0"/>
              <w:spacing w:before="0" w:after="0"/>
              <w:jc w:val="center"/>
              <w:rPr>
                <w:rFonts w:ascii="Times New Roman" w:hAnsi="Times New Roman" w:cs="Times New Roman"/>
                <w:sz w:val="22"/>
                <w:lang w:val="nl-NL"/>
              </w:rPr>
            </w:pPr>
            <w:r w:rsidRPr="00D21D8C">
              <w:rPr>
                <w:rFonts w:ascii="Times New Roman" w:hAnsi="Times New Roman" w:cs="Times New Roman"/>
                <w:sz w:val="22"/>
                <w:lang w:val="nl-NL"/>
              </w:rPr>
              <w:t>66 (55%)</w:t>
            </w:r>
          </w:p>
        </w:tc>
      </w:tr>
      <w:tr w:rsidR="001A41A5" w:rsidRPr="00D21D8C" w14:paraId="69F5FD00" w14:textId="77777777" w:rsidTr="00467043">
        <w:trPr>
          <w:trHeight w:val="20"/>
        </w:trPr>
        <w:tc>
          <w:tcPr>
            <w:tcW w:w="1552" w:type="pct"/>
          </w:tcPr>
          <w:p w14:paraId="0567023C" w14:textId="6448F649" w:rsidR="001A41A5" w:rsidRPr="00D21D8C" w:rsidRDefault="00370FB5" w:rsidP="00467043">
            <w:pPr>
              <w:pStyle w:val="PLRTable2ndLevelIndent"/>
              <w:keepNext/>
              <w:keepLines/>
              <w:widowControl w:val="0"/>
              <w:spacing w:before="0" w:after="0"/>
              <w:ind w:left="381"/>
              <w:rPr>
                <w:rFonts w:ascii="Times New Roman" w:hAnsi="Times New Roman" w:cs="Times New Roman"/>
                <w:sz w:val="22"/>
                <w:lang w:val="nl-NL"/>
              </w:rPr>
            </w:pPr>
            <w:r w:rsidRPr="00D21D8C">
              <w:rPr>
                <w:rFonts w:ascii="Times New Roman" w:hAnsi="Times New Roman" w:cs="Times New Roman"/>
                <w:sz w:val="22"/>
                <w:lang w:val="nl-NL"/>
              </w:rPr>
              <w:t>Sterfgeval</w:t>
            </w:r>
          </w:p>
        </w:tc>
        <w:tc>
          <w:tcPr>
            <w:tcW w:w="1724" w:type="pct"/>
          </w:tcPr>
          <w:p w14:paraId="5BCD644E" w14:textId="304A0E18" w:rsidR="001A41A5" w:rsidRPr="00D21D8C" w:rsidRDefault="001A41A5" w:rsidP="00467043">
            <w:pPr>
              <w:pStyle w:val="PLRTable1stLevelIndent"/>
              <w:keepNext/>
              <w:keepLines/>
              <w:widowControl w:val="0"/>
              <w:spacing w:before="0" w:after="0"/>
              <w:jc w:val="center"/>
              <w:rPr>
                <w:rFonts w:ascii="Times New Roman" w:hAnsi="Times New Roman" w:cs="Times New Roman"/>
                <w:sz w:val="22"/>
                <w:lang w:val="nl-NL"/>
              </w:rPr>
            </w:pPr>
            <w:r w:rsidRPr="00D21D8C">
              <w:rPr>
                <w:rFonts w:ascii="Times New Roman" w:hAnsi="Times New Roman" w:cs="Times New Roman"/>
                <w:sz w:val="22"/>
                <w:lang w:val="nl-NL"/>
              </w:rPr>
              <w:t>14 (12%)</w:t>
            </w:r>
          </w:p>
        </w:tc>
        <w:tc>
          <w:tcPr>
            <w:tcW w:w="1724" w:type="pct"/>
          </w:tcPr>
          <w:p w14:paraId="718DDA20" w14:textId="0FE6949B" w:rsidR="001A41A5" w:rsidRPr="00D21D8C" w:rsidRDefault="001A41A5" w:rsidP="00467043">
            <w:pPr>
              <w:pStyle w:val="PLRTable1stLevelIndent"/>
              <w:keepNext/>
              <w:keepLines/>
              <w:widowControl w:val="0"/>
              <w:spacing w:before="0" w:after="0"/>
              <w:jc w:val="center"/>
              <w:rPr>
                <w:rFonts w:ascii="Times New Roman" w:hAnsi="Times New Roman" w:cs="Times New Roman"/>
                <w:sz w:val="22"/>
                <w:lang w:val="nl-NL"/>
              </w:rPr>
            </w:pPr>
            <w:r w:rsidRPr="00D21D8C">
              <w:rPr>
                <w:rFonts w:ascii="Times New Roman" w:hAnsi="Times New Roman" w:cs="Times New Roman"/>
                <w:sz w:val="22"/>
                <w:lang w:val="nl-NL"/>
              </w:rPr>
              <w:t>13 (11%)</w:t>
            </w:r>
          </w:p>
        </w:tc>
      </w:tr>
      <w:tr w:rsidR="001A41A5" w:rsidRPr="00D21D8C" w14:paraId="56DF93CA" w14:textId="77777777" w:rsidTr="00467043">
        <w:trPr>
          <w:trHeight w:val="20"/>
        </w:trPr>
        <w:tc>
          <w:tcPr>
            <w:tcW w:w="1552" w:type="pct"/>
          </w:tcPr>
          <w:p w14:paraId="1CF7E11D" w14:textId="5759191D" w:rsidR="001A41A5" w:rsidRPr="000D0EC8" w:rsidRDefault="00837A5F" w:rsidP="00467043">
            <w:pPr>
              <w:pStyle w:val="PLRTable1stLevelIndent"/>
              <w:keepNext/>
              <w:keepLines/>
              <w:widowControl w:val="0"/>
              <w:spacing w:before="0" w:after="0"/>
              <w:ind w:left="201" w:hanging="90"/>
              <w:rPr>
                <w:rFonts w:ascii="Times New Roman" w:hAnsi="Times New Roman" w:cs="Times New Roman"/>
                <w:sz w:val="22"/>
                <w:vertAlign w:val="superscript"/>
                <w:lang w:val="nl-NL"/>
              </w:rPr>
            </w:pPr>
            <w:r w:rsidRPr="000D0EC8">
              <w:rPr>
                <w:rFonts w:ascii="Times New Roman" w:hAnsi="Times New Roman" w:cs="Times New Roman"/>
                <w:sz w:val="22"/>
                <w:lang w:val="nl-NL"/>
              </w:rPr>
              <w:t>Mediane PFS (95%</w:t>
            </w:r>
            <w:r w:rsidRPr="00D21D8C">
              <w:rPr>
                <w:rFonts w:ascii="Times New Roman" w:hAnsi="Times New Roman" w:cs="Times New Roman"/>
                <w:sz w:val="22"/>
                <w:lang w:val="nl-NL"/>
              </w:rPr>
              <w:t>-</w:t>
            </w:r>
            <w:r w:rsidRPr="000D0EC8">
              <w:rPr>
                <w:rFonts w:ascii="Times New Roman" w:hAnsi="Times New Roman" w:cs="Times New Roman"/>
                <w:sz w:val="22"/>
                <w:lang w:val="nl-NL"/>
              </w:rPr>
              <w:t>BI), maanden</w:t>
            </w:r>
            <w:r w:rsidR="001A41A5" w:rsidRPr="000D0EC8">
              <w:rPr>
                <w:rFonts w:ascii="Times New Roman" w:hAnsi="Times New Roman" w:cs="Times New Roman"/>
                <w:sz w:val="22"/>
                <w:lang w:val="nl-NL"/>
              </w:rPr>
              <w:t xml:space="preserve"> </w:t>
            </w:r>
            <w:r w:rsidR="001A41A5" w:rsidRPr="000D0EC8">
              <w:rPr>
                <w:rFonts w:ascii="Times New Roman" w:hAnsi="Times New Roman" w:cs="Times New Roman"/>
                <w:sz w:val="22"/>
                <w:vertAlign w:val="superscript"/>
                <w:lang w:val="nl-NL"/>
              </w:rPr>
              <w:t>b</w:t>
            </w:r>
          </w:p>
        </w:tc>
        <w:tc>
          <w:tcPr>
            <w:tcW w:w="1724" w:type="pct"/>
          </w:tcPr>
          <w:p w14:paraId="6C83CF87" w14:textId="27ADF99D" w:rsidR="001A41A5" w:rsidRPr="00D21D8C" w:rsidRDefault="001A41A5" w:rsidP="00467043">
            <w:pPr>
              <w:pStyle w:val="PLRTable1stLevelIndent"/>
              <w:keepNext/>
              <w:keepLines/>
              <w:widowControl w:val="0"/>
              <w:spacing w:before="0" w:after="0"/>
              <w:jc w:val="center"/>
              <w:rPr>
                <w:rFonts w:ascii="Times New Roman" w:hAnsi="Times New Roman" w:cs="Times New Roman"/>
                <w:sz w:val="22"/>
                <w:lang w:val="nl-NL"/>
              </w:rPr>
            </w:pPr>
            <w:r w:rsidRPr="00D21D8C">
              <w:rPr>
                <w:rFonts w:ascii="Times New Roman" w:hAnsi="Times New Roman" w:cs="Times New Roman"/>
                <w:sz w:val="22"/>
                <w:lang w:val="nl-NL"/>
              </w:rPr>
              <w:t>14</w:t>
            </w:r>
            <w:r w:rsidR="00837A5F" w:rsidRPr="00D21D8C">
              <w:rPr>
                <w:rFonts w:ascii="Times New Roman" w:hAnsi="Times New Roman" w:cs="Times New Roman"/>
                <w:sz w:val="22"/>
                <w:lang w:val="nl-NL"/>
              </w:rPr>
              <w:t>,</w:t>
            </w:r>
            <w:r w:rsidRPr="00D21D8C">
              <w:rPr>
                <w:rFonts w:ascii="Times New Roman" w:hAnsi="Times New Roman" w:cs="Times New Roman"/>
                <w:sz w:val="22"/>
                <w:lang w:val="nl-NL"/>
              </w:rPr>
              <w:t>0 (11</w:t>
            </w:r>
            <w:r w:rsidR="00837A5F" w:rsidRPr="00D21D8C">
              <w:rPr>
                <w:rFonts w:ascii="Times New Roman" w:hAnsi="Times New Roman" w:cs="Times New Roman"/>
                <w:sz w:val="22"/>
                <w:lang w:val="nl-NL"/>
              </w:rPr>
              <w:t>,</w:t>
            </w:r>
            <w:r w:rsidRPr="00D21D8C">
              <w:rPr>
                <w:rFonts w:ascii="Times New Roman" w:hAnsi="Times New Roman" w:cs="Times New Roman"/>
                <w:sz w:val="22"/>
                <w:lang w:val="nl-NL"/>
              </w:rPr>
              <w:t>2</w:t>
            </w:r>
            <w:r w:rsidR="00837A5F" w:rsidRPr="00D21D8C">
              <w:rPr>
                <w:rFonts w:ascii="Times New Roman" w:hAnsi="Times New Roman" w:cs="Times New Roman"/>
                <w:sz w:val="22"/>
                <w:lang w:val="nl-NL"/>
              </w:rPr>
              <w:t>;</w:t>
            </w:r>
            <w:r w:rsidRPr="00D21D8C">
              <w:rPr>
                <w:rFonts w:ascii="Times New Roman" w:hAnsi="Times New Roman" w:cs="Times New Roman"/>
                <w:sz w:val="22"/>
                <w:lang w:val="nl-NL"/>
              </w:rPr>
              <w:t xml:space="preserve"> 16</w:t>
            </w:r>
            <w:r w:rsidR="00837A5F" w:rsidRPr="00D21D8C">
              <w:rPr>
                <w:rFonts w:ascii="Times New Roman" w:hAnsi="Times New Roman" w:cs="Times New Roman"/>
                <w:sz w:val="22"/>
                <w:lang w:val="nl-NL"/>
              </w:rPr>
              <w:t>,</w:t>
            </w:r>
            <w:r w:rsidRPr="00D21D8C">
              <w:rPr>
                <w:rFonts w:ascii="Times New Roman" w:hAnsi="Times New Roman" w:cs="Times New Roman"/>
                <w:sz w:val="22"/>
                <w:lang w:val="nl-NL"/>
              </w:rPr>
              <w:t>6)</w:t>
            </w:r>
          </w:p>
        </w:tc>
        <w:tc>
          <w:tcPr>
            <w:tcW w:w="1724" w:type="pct"/>
          </w:tcPr>
          <w:p w14:paraId="17BD5E83" w14:textId="028840B6" w:rsidR="001A41A5" w:rsidRPr="00D21D8C" w:rsidRDefault="001A41A5" w:rsidP="00467043">
            <w:pPr>
              <w:pStyle w:val="PLRTable1stLevelIndent"/>
              <w:keepNext/>
              <w:keepLines/>
              <w:widowControl w:val="0"/>
              <w:spacing w:before="0" w:after="0"/>
              <w:jc w:val="center"/>
              <w:rPr>
                <w:rFonts w:ascii="Times New Roman" w:hAnsi="Times New Roman" w:cs="Times New Roman"/>
                <w:sz w:val="22"/>
                <w:lang w:val="nl-NL"/>
              </w:rPr>
            </w:pPr>
            <w:r w:rsidRPr="00D21D8C">
              <w:rPr>
                <w:rFonts w:ascii="Times New Roman" w:hAnsi="Times New Roman" w:cs="Times New Roman"/>
                <w:sz w:val="22"/>
                <w:lang w:val="nl-NL"/>
              </w:rPr>
              <w:t>8</w:t>
            </w:r>
            <w:r w:rsidR="00837A5F" w:rsidRPr="00D21D8C">
              <w:rPr>
                <w:rFonts w:ascii="Times New Roman" w:hAnsi="Times New Roman" w:cs="Times New Roman"/>
                <w:sz w:val="22"/>
                <w:lang w:val="nl-NL"/>
              </w:rPr>
              <w:t>,</w:t>
            </w:r>
            <w:r w:rsidRPr="00D21D8C">
              <w:rPr>
                <w:rFonts w:ascii="Times New Roman" w:hAnsi="Times New Roman" w:cs="Times New Roman"/>
                <w:sz w:val="22"/>
                <w:lang w:val="nl-NL"/>
              </w:rPr>
              <w:t>7 (8</w:t>
            </w:r>
            <w:r w:rsidR="00837A5F" w:rsidRPr="00D21D8C">
              <w:rPr>
                <w:rFonts w:ascii="Times New Roman" w:hAnsi="Times New Roman" w:cs="Times New Roman"/>
                <w:sz w:val="22"/>
                <w:lang w:val="nl-NL"/>
              </w:rPr>
              <w:t>,</w:t>
            </w:r>
            <w:r w:rsidRPr="00D21D8C">
              <w:rPr>
                <w:rFonts w:ascii="Times New Roman" w:hAnsi="Times New Roman" w:cs="Times New Roman"/>
                <w:sz w:val="22"/>
                <w:lang w:val="nl-NL"/>
              </w:rPr>
              <w:t>1</w:t>
            </w:r>
            <w:r w:rsidR="00837A5F" w:rsidRPr="00D21D8C">
              <w:rPr>
                <w:rFonts w:ascii="Times New Roman" w:hAnsi="Times New Roman" w:cs="Times New Roman"/>
                <w:sz w:val="22"/>
                <w:lang w:val="nl-NL"/>
              </w:rPr>
              <w:t>;</w:t>
            </w:r>
            <w:r w:rsidRPr="00D21D8C">
              <w:rPr>
                <w:rFonts w:ascii="Times New Roman" w:hAnsi="Times New Roman" w:cs="Times New Roman"/>
                <w:sz w:val="22"/>
                <w:lang w:val="nl-NL"/>
              </w:rPr>
              <w:t xml:space="preserve"> 10</w:t>
            </w:r>
            <w:r w:rsidR="00837A5F" w:rsidRPr="00D21D8C">
              <w:rPr>
                <w:rFonts w:ascii="Times New Roman" w:hAnsi="Times New Roman" w:cs="Times New Roman"/>
                <w:sz w:val="22"/>
                <w:lang w:val="nl-NL"/>
              </w:rPr>
              <w:t>,</w:t>
            </w:r>
            <w:r w:rsidRPr="00D21D8C">
              <w:rPr>
                <w:rFonts w:ascii="Times New Roman" w:hAnsi="Times New Roman" w:cs="Times New Roman"/>
                <w:sz w:val="22"/>
                <w:lang w:val="nl-NL"/>
              </w:rPr>
              <w:t>4)</w:t>
            </w:r>
          </w:p>
        </w:tc>
      </w:tr>
      <w:tr w:rsidR="001A41A5" w:rsidRPr="00D21D8C" w14:paraId="1C124DD9" w14:textId="77777777" w:rsidTr="00467043">
        <w:trPr>
          <w:trHeight w:val="20"/>
        </w:trPr>
        <w:tc>
          <w:tcPr>
            <w:tcW w:w="1552" w:type="pct"/>
          </w:tcPr>
          <w:p w14:paraId="5A35A22B" w14:textId="5D71B250" w:rsidR="001A41A5" w:rsidRPr="00D21D8C" w:rsidRDefault="001A41A5" w:rsidP="00467043">
            <w:pPr>
              <w:pStyle w:val="PLRTable1stLevelIndent"/>
              <w:keepNext/>
              <w:keepLines/>
              <w:widowControl w:val="0"/>
              <w:spacing w:before="0" w:after="0"/>
              <w:ind w:left="201" w:hanging="90"/>
              <w:rPr>
                <w:rFonts w:ascii="Times New Roman" w:hAnsi="Times New Roman" w:cs="Times New Roman"/>
                <w:sz w:val="22"/>
                <w:vertAlign w:val="superscript"/>
                <w:lang w:val="nl-NL"/>
              </w:rPr>
            </w:pPr>
            <w:r w:rsidRPr="00D21D8C">
              <w:rPr>
                <w:rFonts w:ascii="Times New Roman" w:hAnsi="Times New Roman" w:cs="Times New Roman"/>
                <w:sz w:val="22"/>
                <w:lang w:val="nl-NL"/>
              </w:rPr>
              <w:t>HR (95</w:t>
            </w:r>
            <w:r w:rsidR="00837A5F" w:rsidRPr="00D21D8C">
              <w:rPr>
                <w:rFonts w:ascii="Times New Roman" w:hAnsi="Times New Roman" w:cs="Times New Roman"/>
                <w:sz w:val="22"/>
                <w:lang w:val="nl-NL"/>
              </w:rPr>
              <w:t>%-B</w:t>
            </w:r>
            <w:r w:rsidRPr="00D21D8C">
              <w:rPr>
                <w:rFonts w:ascii="Times New Roman" w:hAnsi="Times New Roman" w:cs="Times New Roman"/>
                <w:sz w:val="22"/>
                <w:lang w:val="nl-NL"/>
              </w:rPr>
              <w:t xml:space="preserve">I) </w:t>
            </w:r>
            <w:r w:rsidRPr="00D21D8C">
              <w:rPr>
                <w:rFonts w:ascii="Times New Roman" w:hAnsi="Times New Roman" w:cs="Times New Roman"/>
                <w:sz w:val="22"/>
                <w:vertAlign w:val="superscript"/>
                <w:lang w:val="nl-NL"/>
              </w:rPr>
              <w:t>c</w:t>
            </w:r>
          </w:p>
        </w:tc>
        <w:tc>
          <w:tcPr>
            <w:tcW w:w="3448" w:type="pct"/>
            <w:gridSpan w:val="2"/>
          </w:tcPr>
          <w:p w14:paraId="569B3A24" w14:textId="2655E6F6" w:rsidR="001A41A5" w:rsidRPr="00D21D8C" w:rsidRDefault="001A41A5" w:rsidP="00467043">
            <w:pPr>
              <w:pStyle w:val="PLRTable1stLevelIndent"/>
              <w:keepNext/>
              <w:keepLines/>
              <w:widowControl w:val="0"/>
              <w:spacing w:before="0" w:after="0"/>
              <w:jc w:val="center"/>
              <w:rPr>
                <w:rFonts w:ascii="Times New Roman" w:hAnsi="Times New Roman" w:cs="Times New Roman"/>
                <w:sz w:val="22"/>
                <w:lang w:val="nl-NL"/>
              </w:rPr>
            </w:pPr>
            <w:r w:rsidRPr="00D21D8C">
              <w:rPr>
                <w:rFonts w:ascii="Times New Roman" w:hAnsi="Times New Roman" w:cs="Times New Roman"/>
                <w:sz w:val="22"/>
                <w:lang w:val="nl-NL"/>
              </w:rPr>
              <w:t>0</w:t>
            </w:r>
            <w:r w:rsidR="00837A5F" w:rsidRPr="00D21D8C">
              <w:rPr>
                <w:rFonts w:ascii="Times New Roman" w:hAnsi="Times New Roman" w:cs="Times New Roman"/>
                <w:sz w:val="22"/>
                <w:lang w:val="nl-NL"/>
              </w:rPr>
              <w:t>,</w:t>
            </w:r>
            <w:r w:rsidRPr="00D21D8C">
              <w:rPr>
                <w:rFonts w:ascii="Times New Roman" w:hAnsi="Times New Roman" w:cs="Times New Roman"/>
                <w:sz w:val="22"/>
                <w:lang w:val="nl-NL"/>
              </w:rPr>
              <w:t>54 (0</w:t>
            </w:r>
            <w:r w:rsidR="00837A5F" w:rsidRPr="00D21D8C">
              <w:rPr>
                <w:rFonts w:ascii="Times New Roman" w:hAnsi="Times New Roman" w:cs="Times New Roman"/>
                <w:sz w:val="22"/>
                <w:lang w:val="nl-NL"/>
              </w:rPr>
              <w:t>,</w:t>
            </w:r>
            <w:r w:rsidRPr="00D21D8C">
              <w:rPr>
                <w:rFonts w:ascii="Times New Roman" w:hAnsi="Times New Roman" w:cs="Times New Roman"/>
                <w:sz w:val="22"/>
                <w:lang w:val="nl-NL"/>
              </w:rPr>
              <w:t>39</w:t>
            </w:r>
            <w:r w:rsidR="00837A5F" w:rsidRPr="00D21D8C">
              <w:rPr>
                <w:rFonts w:ascii="Times New Roman" w:hAnsi="Times New Roman" w:cs="Times New Roman"/>
                <w:sz w:val="22"/>
                <w:lang w:val="nl-NL"/>
              </w:rPr>
              <w:t>;</w:t>
            </w:r>
            <w:r w:rsidRPr="00D21D8C">
              <w:rPr>
                <w:rFonts w:ascii="Times New Roman" w:hAnsi="Times New Roman" w:cs="Times New Roman"/>
                <w:sz w:val="22"/>
                <w:lang w:val="nl-NL"/>
              </w:rPr>
              <w:t xml:space="preserve"> 0</w:t>
            </w:r>
            <w:r w:rsidR="00837A5F" w:rsidRPr="00D21D8C">
              <w:rPr>
                <w:rFonts w:ascii="Times New Roman" w:hAnsi="Times New Roman" w:cs="Times New Roman"/>
                <w:sz w:val="22"/>
                <w:lang w:val="nl-NL"/>
              </w:rPr>
              <w:t>,</w:t>
            </w:r>
            <w:r w:rsidRPr="00D21D8C">
              <w:rPr>
                <w:rFonts w:ascii="Times New Roman" w:hAnsi="Times New Roman" w:cs="Times New Roman"/>
                <w:sz w:val="22"/>
                <w:lang w:val="nl-NL"/>
              </w:rPr>
              <w:t>75)</w:t>
            </w:r>
          </w:p>
        </w:tc>
      </w:tr>
      <w:tr w:rsidR="001A41A5" w:rsidRPr="00D21D8C" w14:paraId="60388FE0" w14:textId="77777777" w:rsidTr="00467043">
        <w:trPr>
          <w:trHeight w:val="20"/>
        </w:trPr>
        <w:tc>
          <w:tcPr>
            <w:tcW w:w="1552" w:type="pct"/>
          </w:tcPr>
          <w:p w14:paraId="05413E59" w14:textId="593DF798" w:rsidR="001A41A5" w:rsidRPr="00D21D8C" w:rsidRDefault="001A41A5" w:rsidP="00467043">
            <w:pPr>
              <w:pStyle w:val="PLRTable1stLevelIndent"/>
              <w:keepNext/>
              <w:keepLines/>
              <w:widowControl w:val="0"/>
              <w:spacing w:before="0" w:after="0"/>
              <w:ind w:left="201" w:hanging="90"/>
              <w:rPr>
                <w:rFonts w:ascii="Times New Roman" w:hAnsi="Times New Roman" w:cs="Times New Roman"/>
                <w:sz w:val="22"/>
                <w:vertAlign w:val="superscript"/>
                <w:lang w:val="nl-NL"/>
              </w:rPr>
            </w:pPr>
            <w:r w:rsidRPr="00D21D8C">
              <w:rPr>
                <w:rFonts w:ascii="Times New Roman" w:hAnsi="Times New Roman" w:cs="Times New Roman"/>
                <w:sz w:val="22"/>
                <w:lang w:val="nl-NL"/>
              </w:rPr>
              <w:t>P-</w:t>
            </w:r>
            <w:r w:rsidR="00837A5F" w:rsidRPr="00D21D8C">
              <w:rPr>
                <w:rFonts w:ascii="Times New Roman" w:hAnsi="Times New Roman" w:cs="Times New Roman"/>
                <w:sz w:val="22"/>
                <w:lang w:val="nl-NL"/>
              </w:rPr>
              <w:t>waarde</w:t>
            </w:r>
            <w:r w:rsidRPr="00D21D8C">
              <w:rPr>
                <w:rFonts w:ascii="Times New Roman" w:hAnsi="Times New Roman" w:cs="Times New Roman"/>
                <w:sz w:val="22"/>
                <w:lang w:val="nl-NL"/>
              </w:rPr>
              <w:t xml:space="preserve"> </w:t>
            </w:r>
            <w:r w:rsidRPr="00D21D8C">
              <w:rPr>
                <w:rFonts w:ascii="Times New Roman" w:hAnsi="Times New Roman" w:cs="Times New Roman"/>
                <w:sz w:val="22"/>
                <w:vertAlign w:val="superscript"/>
                <w:lang w:val="nl-NL"/>
              </w:rPr>
              <w:t>d</w:t>
            </w:r>
          </w:p>
        </w:tc>
        <w:tc>
          <w:tcPr>
            <w:tcW w:w="3448" w:type="pct"/>
            <w:gridSpan w:val="2"/>
          </w:tcPr>
          <w:p w14:paraId="33019EDF" w14:textId="542E7AAA" w:rsidR="001A41A5" w:rsidRPr="00D21D8C" w:rsidRDefault="001A41A5" w:rsidP="00467043">
            <w:pPr>
              <w:pStyle w:val="PLRTable1stLevelIndent"/>
              <w:keepNext/>
              <w:keepLines/>
              <w:widowControl w:val="0"/>
              <w:spacing w:before="0" w:after="0"/>
              <w:jc w:val="center"/>
              <w:rPr>
                <w:rFonts w:ascii="Times New Roman" w:hAnsi="Times New Roman" w:cs="Times New Roman"/>
                <w:sz w:val="22"/>
                <w:lang w:val="nl-NL"/>
              </w:rPr>
            </w:pPr>
            <w:r w:rsidRPr="00D21D8C">
              <w:rPr>
                <w:rFonts w:ascii="Times New Roman" w:hAnsi="Times New Roman" w:cs="Times New Roman"/>
                <w:sz w:val="22"/>
                <w:lang w:val="nl-NL"/>
              </w:rPr>
              <w:t>0</w:t>
            </w:r>
            <w:r w:rsidR="00837A5F" w:rsidRPr="00D21D8C">
              <w:rPr>
                <w:rFonts w:ascii="Times New Roman" w:hAnsi="Times New Roman" w:cs="Times New Roman"/>
                <w:sz w:val="22"/>
                <w:lang w:val="nl-NL"/>
              </w:rPr>
              <w:t>,</w:t>
            </w:r>
            <w:r w:rsidRPr="00D21D8C">
              <w:rPr>
                <w:rFonts w:ascii="Times New Roman" w:hAnsi="Times New Roman" w:cs="Times New Roman"/>
                <w:sz w:val="22"/>
                <w:lang w:val="nl-NL"/>
              </w:rPr>
              <w:t>0002</w:t>
            </w:r>
          </w:p>
        </w:tc>
      </w:tr>
    </w:tbl>
    <w:p w14:paraId="453DE469" w14:textId="2738EA56" w:rsidR="00423DF4" w:rsidRPr="00D21D8C" w:rsidRDefault="00044537" w:rsidP="00423DF4">
      <w:pPr>
        <w:spacing w:line="240" w:lineRule="auto"/>
        <w:rPr>
          <w:rFonts w:asciiTheme="majorBidi" w:hAnsiTheme="majorBidi" w:cstheme="majorBidi"/>
          <w:szCs w:val="22"/>
        </w:rPr>
      </w:pPr>
      <w:r w:rsidRPr="00D21D8C">
        <w:rPr>
          <w:rFonts w:asciiTheme="majorBidi" w:hAnsiTheme="majorBidi" w:cstheme="majorBidi"/>
          <w:szCs w:val="22"/>
        </w:rPr>
        <w:t>B</w:t>
      </w:r>
      <w:r w:rsidR="00423DF4" w:rsidRPr="00D21D8C">
        <w:rPr>
          <w:rFonts w:asciiTheme="majorBidi" w:hAnsiTheme="majorBidi" w:cstheme="majorBidi"/>
          <w:szCs w:val="22"/>
        </w:rPr>
        <w:t>I, betrouwbaarheidsinterval; HR, hazard ratio.</w:t>
      </w:r>
    </w:p>
    <w:p w14:paraId="7270766B" w14:textId="192AAB77" w:rsidR="00423DF4" w:rsidRPr="00D21D8C" w:rsidRDefault="00044537" w:rsidP="00423DF4">
      <w:pPr>
        <w:spacing w:line="240" w:lineRule="auto"/>
        <w:rPr>
          <w:rFonts w:asciiTheme="majorBidi" w:hAnsiTheme="majorBidi" w:cstheme="majorBidi"/>
          <w:szCs w:val="22"/>
        </w:rPr>
      </w:pPr>
      <w:r w:rsidRPr="00D21D8C">
        <w:rPr>
          <w:rFonts w:asciiTheme="majorBidi" w:eastAsia="Arial" w:hAnsiTheme="majorBidi" w:cstheme="majorBidi"/>
          <w:color w:val="000000"/>
          <w:szCs w:val="22"/>
          <w:u w:color="FFFFFF"/>
        </w:rPr>
        <w:t>Sluitingsdatum van gegevensverzameling</w:t>
      </w:r>
      <w:r w:rsidR="00423DF4" w:rsidRPr="00D21D8C">
        <w:rPr>
          <w:rFonts w:asciiTheme="majorBidi" w:hAnsiTheme="majorBidi" w:cstheme="majorBidi"/>
          <w:szCs w:val="22"/>
        </w:rPr>
        <w:t xml:space="preserve"> 29 aug 2024</w:t>
      </w:r>
    </w:p>
    <w:p w14:paraId="68A377E5" w14:textId="2DF14232" w:rsidR="009E6B0D" w:rsidRPr="00D21D8C" w:rsidRDefault="009E6B0D" w:rsidP="009E6B0D">
      <w:pPr>
        <w:autoSpaceDE w:val="0"/>
        <w:autoSpaceDN w:val="0"/>
        <w:adjustRightInd w:val="0"/>
        <w:spacing w:line="240" w:lineRule="auto"/>
        <w:rPr>
          <w:szCs w:val="22"/>
        </w:rPr>
      </w:pPr>
      <w:r w:rsidRPr="00D21D8C">
        <w:rPr>
          <w:position w:val="4"/>
          <w:sz w:val="18"/>
          <w:szCs w:val="22"/>
        </w:rPr>
        <w:t>a</w:t>
      </w:r>
      <w:r w:rsidRPr="00D21D8C">
        <w:rPr>
          <w:szCs w:val="22"/>
        </w:rPr>
        <w:t xml:space="preserve"> De werkzaamheid werd beoordeeld aan de hand van de </w:t>
      </w:r>
      <w:r w:rsidR="00EA242B" w:rsidRPr="000D0EC8">
        <w:rPr>
          <w:i/>
          <w:iCs/>
          <w:szCs w:val="22"/>
        </w:rPr>
        <w:t>2018 International Workshop for Chronic Lymphocytic Leukemia</w:t>
      </w:r>
      <w:r w:rsidRPr="00D21D8C">
        <w:rPr>
          <w:szCs w:val="22"/>
        </w:rPr>
        <w:t xml:space="preserve"> (iwCLL).</w:t>
      </w:r>
    </w:p>
    <w:p w14:paraId="5AEDC73C" w14:textId="28ADEACF" w:rsidR="009E6B0D" w:rsidRPr="00D21D8C" w:rsidRDefault="009E6B0D" w:rsidP="009E6B0D">
      <w:pPr>
        <w:autoSpaceDE w:val="0"/>
        <w:autoSpaceDN w:val="0"/>
        <w:adjustRightInd w:val="0"/>
        <w:spacing w:line="240" w:lineRule="auto"/>
        <w:rPr>
          <w:szCs w:val="22"/>
        </w:rPr>
      </w:pPr>
      <w:r w:rsidRPr="00D21D8C">
        <w:rPr>
          <w:position w:val="4"/>
          <w:sz w:val="18"/>
          <w:szCs w:val="22"/>
        </w:rPr>
        <w:t>b</w:t>
      </w:r>
      <w:r w:rsidRPr="00D21D8C">
        <w:rPr>
          <w:szCs w:val="22"/>
        </w:rPr>
        <w:t xml:space="preserve"> </w:t>
      </w:r>
      <w:r w:rsidRPr="000D0EC8">
        <w:rPr>
          <w:szCs w:val="22"/>
        </w:rPr>
        <w:t>Gebaseerd op een Kaplan-Meier</w:t>
      </w:r>
      <w:r w:rsidR="00964570">
        <w:rPr>
          <w:szCs w:val="22"/>
        </w:rPr>
        <w:t>-</w:t>
      </w:r>
      <w:r w:rsidR="00964570" w:rsidRPr="003F5B1E">
        <w:rPr>
          <w:szCs w:val="22"/>
        </w:rPr>
        <w:t>schatting</w:t>
      </w:r>
      <w:r w:rsidRPr="000D0EC8">
        <w:rPr>
          <w:szCs w:val="22"/>
        </w:rPr>
        <w:t>.</w:t>
      </w:r>
    </w:p>
    <w:p w14:paraId="4FD9AEA6" w14:textId="680B3DF3" w:rsidR="009E6B0D" w:rsidRPr="00D21D8C" w:rsidRDefault="009E6B0D" w:rsidP="009E6B0D">
      <w:pPr>
        <w:autoSpaceDE w:val="0"/>
        <w:autoSpaceDN w:val="0"/>
        <w:adjustRightInd w:val="0"/>
        <w:spacing w:line="240" w:lineRule="auto"/>
        <w:rPr>
          <w:szCs w:val="22"/>
        </w:rPr>
      </w:pPr>
      <w:r w:rsidRPr="00D21D8C">
        <w:rPr>
          <w:position w:val="4"/>
          <w:sz w:val="18"/>
          <w:szCs w:val="22"/>
        </w:rPr>
        <w:t>c</w:t>
      </w:r>
      <w:r w:rsidRPr="00D21D8C">
        <w:rPr>
          <w:szCs w:val="22"/>
        </w:rPr>
        <w:t xml:space="preserve"> Gebaseerd op een gestratificeerd </w:t>
      </w:r>
      <w:r w:rsidR="00964570">
        <w:rPr>
          <w:szCs w:val="22"/>
        </w:rPr>
        <w:t>‘</w:t>
      </w:r>
      <w:r w:rsidRPr="00D21D8C">
        <w:rPr>
          <w:szCs w:val="22"/>
        </w:rPr>
        <w:t>Cox proportion</w:t>
      </w:r>
      <w:r w:rsidR="00964570">
        <w:rPr>
          <w:szCs w:val="22"/>
        </w:rPr>
        <w:t>a</w:t>
      </w:r>
      <w:r w:rsidRPr="00D21D8C">
        <w:rPr>
          <w:szCs w:val="22"/>
        </w:rPr>
        <w:t xml:space="preserve">l </w:t>
      </w:r>
      <w:r w:rsidR="00F33A82" w:rsidRPr="00964570">
        <w:rPr>
          <w:szCs w:val="22"/>
        </w:rPr>
        <w:t>hazards</w:t>
      </w:r>
      <w:r w:rsidR="00964570">
        <w:rPr>
          <w:szCs w:val="22"/>
        </w:rPr>
        <w:t>’</w:t>
      </w:r>
      <w:r w:rsidR="00F33A82" w:rsidRPr="00D21D8C">
        <w:rPr>
          <w:szCs w:val="22"/>
        </w:rPr>
        <w:t>-model</w:t>
      </w:r>
      <w:r w:rsidRPr="00D21D8C">
        <w:rPr>
          <w:szCs w:val="22"/>
        </w:rPr>
        <w:t xml:space="preserve">. </w:t>
      </w:r>
    </w:p>
    <w:p w14:paraId="4C446D90" w14:textId="2F1650F5" w:rsidR="009E6B0D" w:rsidRPr="00D21D8C" w:rsidRDefault="009E6B0D" w:rsidP="009E6B0D">
      <w:pPr>
        <w:autoSpaceDE w:val="0"/>
        <w:autoSpaceDN w:val="0"/>
        <w:adjustRightInd w:val="0"/>
        <w:spacing w:line="240" w:lineRule="auto"/>
        <w:rPr>
          <w:szCs w:val="22"/>
        </w:rPr>
      </w:pPr>
      <w:r w:rsidRPr="00D21D8C">
        <w:rPr>
          <w:position w:val="4"/>
          <w:sz w:val="18"/>
          <w:szCs w:val="22"/>
        </w:rPr>
        <w:t>d</w:t>
      </w:r>
      <w:r w:rsidRPr="00D21D8C">
        <w:rPr>
          <w:szCs w:val="22"/>
        </w:rPr>
        <w:t xml:space="preserve"> </w:t>
      </w:r>
      <w:r w:rsidRPr="000D0EC8">
        <w:rPr>
          <w:szCs w:val="22"/>
        </w:rPr>
        <w:t>2-zijdige nominale p-waarde op basis van een gestratificeerde log-rank-</w:t>
      </w:r>
      <w:r w:rsidR="00DB5E45" w:rsidRPr="00D21D8C">
        <w:rPr>
          <w:szCs w:val="22"/>
        </w:rPr>
        <w:t>toets</w:t>
      </w:r>
      <w:r w:rsidRPr="000D0EC8">
        <w:rPr>
          <w:szCs w:val="22"/>
        </w:rPr>
        <w:t>.</w:t>
      </w:r>
    </w:p>
    <w:p w14:paraId="41CA1CB7" w14:textId="77777777" w:rsidR="00A50155" w:rsidRPr="00D21D8C" w:rsidRDefault="00A50155">
      <w:pPr>
        <w:spacing w:line="240" w:lineRule="auto"/>
        <w:rPr>
          <w:rFonts w:asciiTheme="majorBidi" w:hAnsiTheme="majorBidi" w:cstheme="majorBidi"/>
          <w:szCs w:val="22"/>
        </w:rPr>
      </w:pPr>
    </w:p>
    <w:p w14:paraId="504B82F6" w14:textId="3711D0BD" w:rsidR="00A50155" w:rsidRPr="00D21D8C" w:rsidRDefault="00220206">
      <w:pPr>
        <w:spacing w:line="240" w:lineRule="auto"/>
        <w:rPr>
          <w:rFonts w:asciiTheme="majorBidi" w:hAnsiTheme="majorBidi" w:cstheme="majorBidi"/>
          <w:b/>
          <w:bCs/>
          <w:szCs w:val="22"/>
        </w:rPr>
      </w:pPr>
      <w:r w:rsidRPr="000D0EC8">
        <w:rPr>
          <w:rFonts w:asciiTheme="majorBidi" w:hAnsiTheme="majorBidi" w:cstheme="majorBidi"/>
          <w:b/>
          <w:bCs/>
          <w:szCs w:val="22"/>
        </w:rPr>
        <w:t>Figuur 1: Kaplan-Meier-curve van IRC-beoordeelde PFS bij patiënten met CLL die eerder zijn behandeld met een BTK-remmer in onderzoek 20020</w:t>
      </w:r>
    </w:p>
    <w:p w14:paraId="16214CC8" w14:textId="77777777" w:rsidR="002152C1" w:rsidRPr="000D0EC8" w:rsidRDefault="002152C1">
      <w:pPr>
        <w:spacing w:line="240" w:lineRule="auto"/>
        <w:rPr>
          <w:rFonts w:asciiTheme="majorBidi" w:hAnsiTheme="majorBidi" w:cstheme="majorBidi"/>
          <w:b/>
          <w:bCs/>
          <w:szCs w:val="22"/>
        </w:rPr>
      </w:pPr>
    </w:p>
    <w:p w14:paraId="51A57E63" w14:textId="2EE87B31" w:rsidR="00220206" w:rsidRPr="00D21D8C" w:rsidRDefault="00E84FC1">
      <w:pPr>
        <w:spacing w:line="240" w:lineRule="auto"/>
        <w:rPr>
          <w:rFonts w:asciiTheme="majorBidi" w:hAnsiTheme="majorBidi" w:cstheme="majorBidi"/>
          <w:szCs w:val="22"/>
        </w:rPr>
      </w:pPr>
      <w:r w:rsidRPr="00D21D8C">
        <w:rPr>
          <w:noProof/>
          <w:lang w:val="en-GB" w:eastAsia="en-GB"/>
        </w:rPr>
        <w:drawing>
          <wp:inline distT="0" distB="0" distL="0" distR="0" wp14:anchorId="7D9CED39" wp14:editId="4B059FEF">
            <wp:extent cx="5872064" cy="3419475"/>
            <wp:effectExtent l="0" t="0" r="0" b="0"/>
            <wp:docPr id="1271642697" name="Picture 1" descr="A diagram of a number and a rul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642697" name="Picture 1" descr="A diagram of a number and a ruler&#10;&#10;AI-generated content may be incorrect."/>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277" t="15623" r="10364" b="22314"/>
                    <a:stretch/>
                  </pic:blipFill>
                  <pic:spPr bwMode="auto">
                    <a:xfrm>
                      <a:off x="0" y="0"/>
                      <a:ext cx="5875898" cy="3421708"/>
                    </a:xfrm>
                    <a:prstGeom prst="rect">
                      <a:avLst/>
                    </a:prstGeom>
                    <a:noFill/>
                    <a:ln>
                      <a:noFill/>
                    </a:ln>
                    <a:extLst>
                      <a:ext uri="{53640926-AAD7-44D8-BBD7-CCE9431645EC}">
                        <a14:shadowObscured xmlns:a14="http://schemas.microsoft.com/office/drawing/2010/main"/>
                      </a:ext>
                    </a:extLst>
                  </pic:spPr>
                </pic:pic>
              </a:graphicData>
            </a:graphic>
          </wp:inline>
        </w:drawing>
      </w:r>
    </w:p>
    <w:p w14:paraId="6C5B6637" w14:textId="77777777" w:rsidR="001D0CC7" w:rsidRPr="00D21D8C" w:rsidRDefault="001D0CC7">
      <w:pPr>
        <w:spacing w:line="240" w:lineRule="auto"/>
        <w:rPr>
          <w:rFonts w:asciiTheme="majorBidi" w:hAnsiTheme="majorBidi" w:cstheme="majorBidi"/>
          <w:szCs w:val="22"/>
        </w:rPr>
      </w:pPr>
    </w:p>
    <w:p w14:paraId="69B3C105" w14:textId="599D685A" w:rsidR="00A50155" w:rsidRPr="00D21D8C" w:rsidRDefault="006D08A2">
      <w:pPr>
        <w:spacing w:line="240" w:lineRule="auto"/>
        <w:rPr>
          <w:rFonts w:asciiTheme="majorBidi" w:hAnsiTheme="majorBidi" w:cstheme="majorBidi"/>
          <w:szCs w:val="22"/>
        </w:rPr>
      </w:pPr>
      <w:r w:rsidRPr="00D21D8C">
        <w:rPr>
          <w:rFonts w:asciiTheme="majorBidi" w:hAnsiTheme="majorBidi" w:cstheme="majorBidi"/>
          <w:szCs w:val="22"/>
        </w:rPr>
        <w:t>Met een follow-up</w:t>
      </w:r>
      <w:r w:rsidR="00964570">
        <w:rPr>
          <w:rFonts w:asciiTheme="majorBidi" w:hAnsiTheme="majorBidi" w:cstheme="majorBidi"/>
          <w:szCs w:val="22"/>
        </w:rPr>
        <w:t>duur</w:t>
      </w:r>
      <w:r w:rsidRPr="00D21D8C">
        <w:rPr>
          <w:rFonts w:asciiTheme="majorBidi" w:hAnsiTheme="majorBidi" w:cstheme="majorBidi"/>
          <w:szCs w:val="22"/>
        </w:rPr>
        <w:t xml:space="preserve"> </w:t>
      </w:r>
      <w:r w:rsidR="00964570">
        <w:rPr>
          <w:rFonts w:asciiTheme="majorBidi" w:hAnsiTheme="majorBidi" w:cstheme="majorBidi"/>
          <w:szCs w:val="22"/>
        </w:rPr>
        <w:t xml:space="preserve">voor de </w:t>
      </w:r>
      <w:r w:rsidR="00964570" w:rsidRPr="00D21D8C">
        <w:rPr>
          <w:rFonts w:asciiTheme="majorBidi" w:hAnsiTheme="majorBidi" w:cstheme="majorBidi"/>
          <w:szCs w:val="22"/>
        </w:rPr>
        <w:t xml:space="preserve">mediane totale overleving (OS) </w:t>
      </w:r>
      <w:r w:rsidRPr="00D21D8C">
        <w:rPr>
          <w:rFonts w:asciiTheme="majorBidi" w:hAnsiTheme="majorBidi" w:cstheme="majorBidi"/>
          <w:szCs w:val="22"/>
        </w:rPr>
        <w:t>van 20,4</w:t>
      </w:r>
      <w:r w:rsidR="00035E1B" w:rsidRPr="00D21D8C">
        <w:rPr>
          <w:rFonts w:asciiTheme="majorBidi" w:hAnsiTheme="majorBidi" w:cstheme="majorBidi"/>
          <w:szCs w:val="22"/>
        </w:rPr>
        <w:t> </w:t>
      </w:r>
      <w:r w:rsidRPr="00D21D8C">
        <w:rPr>
          <w:rFonts w:asciiTheme="majorBidi" w:hAnsiTheme="majorBidi" w:cstheme="majorBidi"/>
          <w:szCs w:val="22"/>
        </w:rPr>
        <w:t>maanden voor pirtobrutinib en 19,2</w:t>
      </w:r>
      <w:r w:rsidR="00035E1B" w:rsidRPr="00D21D8C">
        <w:rPr>
          <w:rFonts w:asciiTheme="majorBidi" w:hAnsiTheme="majorBidi" w:cstheme="majorBidi"/>
          <w:szCs w:val="22"/>
        </w:rPr>
        <w:t> </w:t>
      </w:r>
      <w:r w:rsidRPr="00D21D8C">
        <w:rPr>
          <w:rFonts w:asciiTheme="majorBidi" w:hAnsiTheme="majorBidi" w:cstheme="majorBidi"/>
          <w:szCs w:val="22"/>
        </w:rPr>
        <w:t>maanden in de groep naar keuze van de onderzoeker, stierven 38 patiënten (32,0%) in de pirtobrutinib-arm en 32 patiënten (27,0%) in de groep naar keuze van de onderzoeker. De mediane OS was 29,7</w:t>
      </w:r>
      <w:r w:rsidR="0058110A" w:rsidRPr="00D21D8C">
        <w:rPr>
          <w:rFonts w:asciiTheme="majorBidi" w:hAnsiTheme="majorBidi" w:cstheme="majorBidi"/>
          <w:szCs w:val="22"/>
        </w:rPr>
        <w:t> </w:t>
      </w:r>
      <w:r w:rsidRPr="00D21D8C">
        <w:rPr>
          <w:rFonts w:asciiTheme="majorBidi" w:hAnsiTheme="majorBidi" w:cstheme="majorBidi"/>
          <w:szCs w:val="22"/>
        </w:rPr>
        <w:t>maanden (95%</w:t>
      </w:r>
      <w:r w:rsidR="0058110A" w:rsidRPr="00D21D8C">
        <w:rPr>
          <w:rFonts w:asciiTheme="majorBidi" w:hAnsiTheme="majorBidi" w:cstheme="majorBidi"/>
          <w:szCs w:val="22"/>
        </w:rPr>
        <w:t>-</w:t>
      </w:r>
      <w:r w:rsidRPr="00D21D8C">
        <w:rPr>
          <w:rFonts w:asciiTheme="majorBidi" w:hAnsiTheme="majorBidi" w:cstheme="majorBidi"/>
          <w:szCs w:val="22"/>
        </w:rPr>
        <w:t>BI: 27,1, NE) in de pirtobrutinib-arm en werd niet bereikt in de keuzearm van de onderzoeker. De HR was 1</w:t>
      </w:r>
      <w:r w:rsidR="00543D82" w:rsidRPr="00D21D8C">
        <w:rPr>
          <w:rFonts w:asciiTheme="majorBidi" w:hAnsiTheme="majorBidi" w:cstheme="majorBidi"/>
          <w:szCs w:val="22"/>
        </w:rPr>
        <w:t>,</w:t>
      </w:r>
      <w:r w:rsidRPr="00D21D8C">
        <w:rPr>
          <w:rFonts w:asciiTheme="majorBidi" w:hAnsiTheme="majorBidi" w:cstheme="majorBidi"/>
          <w:szCs w:val="22"/>
        </w:rPr>
        <w:t>090 (95%</w:t>
      </w:r>
      <w:r w:rsidR="00543D82" w:rsidRPr="00D21D8C">
        <w:rPr>
          <w:rFonts w:asciiTheme="majorBidi" w:hAnsiTheme="majorBidi" w:cstheme="majorBidi"/>
          <w:szCs w:val="22"/>
        </w:rPr>
        <w:t>-</w:t>
      </w:r>
      <w:r w:rsidRPr="00D21D8C">
        <w:rPr>
          <w:rFonts w:asciiTheme="majorBidi" w:hAnsiTheme="majorBidi" w:cstheme="majorBidi"/>
          <w:szCs w:val="22"/>
        </w:rPr>
        <w:t>BI: 0,679</w:t>
      </w:r>
      <w:r w:rsidR="00543D82" w:rsidRPr="00D21D8C">
        <w:rPr>
          <w:rFonts w:asciiTheme="majorBidi" w:hAnsiTheme="majorBidi" w:cstheme="majorBidi"/>
          <w:szCs w:val="22"/>
        </w:rPr>
        <w:t>;</w:t>
      </w:r>
      <w:r w:rsidRPr="00D21D8C">
        <w:rPr>
          <w:rFonts w:asciiTheme="majorBidi" w:hAnsiTheme="majorBidi" w:cstheme="majorBidi"/>
          <w:szCs w:val="22"/>
        </w:rPr>
        <w:t xml:space="preserve"> 1,749; p = 0,7202). </w:t>
      </w:r>
      <w:r w:rsidR="0096231B" w:rsidRPr="00D21D8C">
        <w:rPr>
          <w:rFonts w:asciiTheme="majorBidi" w:hAnsiTheme="majorBidi" w:cstheme="majorBidi"/>
          <w:szCs w:val="22"/>
        </w:rPr>
        <w:t xml:space="preserve">De </w:t>
      </w:r>
      <w:r w:rsidRPr="00D21D8C">
        <w:rPr>
          <w:rFonts w:asciiTheme="majorBidi" w:hAnsiTheme="majorBidi" w:cstheme="majorBidi"/>
          <w:szCs w:val="22"/>
        </w:rPr>
        <w:t xml:space="preserve">OS-analyse kan </w:t>
      </w:r>
      <w:r w:rsidR="00DF5E4A" w:rsidRPr="00D21D8C">
        <w:rPr>
          <w:rFonts w:asciiTheme="majorBidi" w:hAnsiTheme="majorBidi" w:cstheme="majorBidi"/>
          <w:szCs w:val="22"/>
        </w:rPr>
        <w:t xml:space="preserve">worden </w:t>
      </w:r>
      <w:r w:rsidR="00964570">
        <w:rPr>
          <w:rFonts w:asciiTheme="majorBidi" w:hAnsiTheme="majorBidi" w:cstheme="majorBidi"/>
          <w:szCs w:val="22"/>
        </w:rPr>
        <w:t xml:space="preserve">beïnvloed </w:t>
      </w:r>
      <w:r w:rsidRPr="00D21D8C">
        <w:rPr>
          <w:rFonts w:asciiTheme="majorBidi" w:hAnsiTheme="majorBidi" w:cstheme="majorBidi"/>
          <w:szCs w:val="22"/>
        </w:rPr>
        <w:t>door de 50 van de 119</w:t>
      </w:r>
      <w:r w:rsidR="00543D82" w:rsidRPr="00D21D8C">
        <w:rPr>
          <w:rFonts w:asciiTheme="majorBidi" w:hAnsiTheme="majorBidi" w:cstheme="majorBidi"/>
          <w:szCs w:val="22"/>
        </w:rPr>
        <w:t> </w:t>
      </w:r>
      <w:r w:rsidRPr="00D21D8C">
        <w:rPr>
          <w:rFonts w:asciiTheme="majorBidi" w:hAnsiTheme="majorBidi" w:cstheme="majorBidi"/>
          <w:szCs w:val="22"/>
        </w:rPr>
        <w:t>patiënten die zijn overgestapt van de keuzearm van de onderzoeker naar pirtobrutinib.</w:t>
      </w:r>
    </w:p>
    <w:p w14:paraId="24EB3B8B" w14:textId="77777777" w:rsidR="00A50155" w:rsidRPr="00D21D8C" w:rsidRDefault="00A50155">
      <w:pPr>
        <w:spacing w:line="240" w:lineRule="auto"/>
        <w:rPr>
          <w:rFonts w:asciiTheme="majorBidi" w:hAnsiTheme="majorBidi" w:cstheme="majorBidi"/>
          <w:szCs w:val="22"/>
        </w:rPr>
      </w:pPr>
    </w:p>
    <w:p w14:paraId="46EEBDA8" w14:textId="77777777"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bCs/>
          <w:iCs/>
          <w:color w:val="000000"/>
          <w:szCs w:val="22"/>
          <w:u w:val="single" w:color="000000"/>
        </w:rPr>
        <w:t>Pediatrische patiënten</w:t>
      </w:r>
    </w:p>
    <w:p w14:paraId="4FEE9E7C" w14:textId="77777777" w:rsidR="001A274F" w:rsidRPr="00D21D8C" w:rsidRDefault="001A274F">
      <w:pPr>
        <w:keepNext/>
        <w:spacing w:line="240" w:lineRule="auto"/>
        <w:jc w:val="both"/>
        <w:rPr>
          <w:rFonts w:asciiTheme="majorBidi" w:hAnsiTheme="majorBidi" w:cstheme="majorBidi"/>
          <w:bCs/>
          <w:iCs/>
          <w:szCs w:val="22"/>
        </w:rPr>
      </w:pPr>
    </w:p>
    <w:p w14:paraId="1042EDB1" w14:textId="7CBB3EBA" w:rsidR="001A274F" w:rsidRPr="00D21D8C" w:rsidRDefault="00DA418A">
      <w:pPr>
        <w:keepNext/>
        <w:spacing w:line="240" w:lineRule="auto"/>
        <w:outlineLvl w:val="0"/>
        <w:rPr>
          <w:rFonts w:asciiTheme="majorBidi" w:hAnsiTheme="majorBidi" w:cstheme="majorBidi"/>
          <w:szCs w:val="22"/>
        </w:rPr>
      </w:pPr>
      <w:r w:rsidRPr="00D21D8C">
        <w:rPr>
          <w:rFonts w:asciiTheme="majorBidi" w:hAnsiTheme="majorBidi" w:cstheme="majorBidi"/>
          <w:color w:val="000000"/>
          <w:szCs w:val="22"/>
          <w:u w:color="FFFFFF"/>
        </w:rPr>
        <w:t xml:space="preserve">Het Europees Geneesmiddelenbureau heeft besloten af te zien van de verplichting voor de fabrikant om de resultaten in te dienen van onderzoek met Jaypirca in alle subgroepen van pediatrische patiënten met </w:t>
      </w:r>
      <w:r w:rsidR="00F25CF4" w:rsidRPr="00D21D8C">
        <w:rPr>
          <w:rFonts w:asciiTheme="majorBidi" w:hAnsiTheme="majorBidi" w:cstheme="majorBidi"/>
          <w:color w:val="000000"/>
          <w:szCs w:val="22"/>
          <w:u w:color="FFFFFF"/>
        </w:rPr>
        <w:t xml:space="preserve">rijpe </w:t>
      </w:r>
      <w:r w:rsidRPr="00D21D8C">
        <w:rPr>
          <w:rFonts w:asciiTheme="majorBidi" w:hAnsiTheme="majorBidi" w:cstheme="majorBidi"/>
          <w:color w:val="000000"/>
          <w:szCs w:val="22"/>
          <w:u w:color="FFFFFF"/>
        </w:rPr>
        <w:t>B-celmaligniteiten (zie rubriek</w:t>
      </w:r>
      <w:r w:rsidR="00EF0EDA"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4.2 voor informatie over pediatrisch gebruik).</w:t>
      </w:r>
      <w:r w:rsidR="0011019E" w:rsidRPr="00D21D8C">
        <w:rPr>
          <w:rFonts w:asciiTheme="majorBidi" w:hAnsiTheme="majorBidi" w:cstheme="majorBidi"/>
          <w:color w:val="000000"/>
          <w:szCs w:val="22"/>
          <w:u w:color="FFFFFF"/>
        </w:rPr>
        <w:fldChar w:fldCharType="begin"/>
      </w:r>
      <w:r w:rsidR="0011019E" w:rsidRPr="00D21D8C">
        <w:rPr>
          <w:rFonts w:asciiTheme="majorBidi" w:hAnsiTheme="majorBidi" w:cstheme="majorBidi"/>
          <w:color w:val="000000"/>
          <w:szCs w:val="22"/>
          <w:u w:color="FFFFFF"/>
        </w:rPr>
        <w:instrText xml:space="preserve"> DOCVARIABLE vault_nd_9d42aa10-dbaf-4fdb-8e82-2880aab1ea55 \* MERGEFORMAT </w:instrText>
      </w:r>
      <w:r w:rsidR="0011019E" w:rsidRPr="00D21D8C">
        <w:rPr>
          <w:rFonts w:asciiTheme="majorBidi" w:hAnsiTheme="majorBidi" w:cstheme="majorBidi"/>
          <w:color w:val="000000"/>
          <w:szCs w:val="22"/>
          <w:u w:color="FFFFFF"/>
        </w:rPr>
        <w:fldChar w:fldCharType="separate"/>
      </w:r>
      <w:r w:rsidR="0011019E" w:rsidRPr="00D21D8C">
        <w:rPr>
          <w:rFonts w:asciiTheme="majorBidi" w:hAnsiTheme="majorBidi" w:cstheme="majorBidi"/>
          <w:color w:val="000000"/>
          <w:szCs w:val="22"/>
          <w:u w:color="FFFFFF"/>
        </w:rPr>
        <w:t xml:space="preserve"> </w:t>
      </w:r>
      <w:r w:rsidR="0011019E" w:rsidRPr="00D21D8C">
        <w:rPr>
          <w:rFonts w:asciiTheme="majorBidi" w:hAnsiTheme="majorBidi" w:cstheme="majorBidi"/>
          <w:color w:val="000000"/>
          <w:szCs w:val="22"/>
          <w:u w:color="FFFFFF"/>
        </w:rPr>
        <w:fldChar w:fldCharType="end"/>
      </w:r>
    </w:p>
    <w:p w14:paraId="72A54F54" w14:textId="77777777" w:rsidR="001A274F" w:rsidRPr="00D21D8C" w:rsidRDefault="001A274F">
      <w:pPr>
        <w:spacing w:line="240" w:lineRule="auto"/>
        <w:outlineLvl w:val="0"/>
        <w:rPr>
          <w:rFonts w:asciiTheme="majorBidi" w:hAnsiTheme="majorBidi" w:cstheme="majorBidi"/>
          <w:szCs w:val="22"/>
        </w:rPr>
      </w:pPr>
    </w:p>
    <w:p w14:paraId="4AE133EA" w14:textId="759286C9" w:rsidR="001A274F" w:rsidRPr="00D21D8C" w:rsidRDefault="00DA418A">
      <w:pPr>
        <w:keepNext/>
        <w:spacing w:line="240" w:lineRule="auto"/>
        <w:outlineLvl w:val="0"/>
        <w:rPr>
          <w:rFonts w:asciiTheme="majorBidi" w:hAnsiTheme="majorBidi" w:cstheme="majorBidi"/>
          <w:szCs w:val="22"/>
        </w:rPr>
      </w:pPr>
      <w:r w:rsidRPr="00D21D8C">
        <w:rPr>
          <w:rFonts w:asciiTheme="majorBidi" w:hAnsiTheme="majorBidi" w:cstheme="majorBidi"/>
          <w:color w:val="000000"/>
          <w:szCs w:val="22"/>
          <w:u w:val="single"/>
        </w:rPr>
        <w:t>Voorwaardelijke toelating</w:t>
      </w:r>
      <w:r w:rsidR="0011019E" w:rsidRPr="00D21D8C">
        <w:rPr>
          <w:rFonts w:asciiTheme="majorBidi" w:hAnsiTheme="majorBidi" w:cstheme="majorBidi"/>
          <w:color w:val="000000"/>
          <w:szCs w:val="22"/>
          <w:u w:val="single"/>
        </w:rPr>
        <w:fldChar w:fldCharType="begin"/>
      </w:r>
      <w:r w:rsidR="0011019E" w:rsidRPr="00D21D8C">
        <w:rPr>
          <w:rFonts w:asciiTheme="majorBidi" w:hAnsiTheme="majorBidi" w:cstheme="majorBidi"/>
          <w:color w:val="000000"/>
          <w:szCs w:val="22"/>
          <w:u w:val="single"/>
        </w:rPr>
        <w:instrText xml:space="preserve"> DOCVARIABLE vault_nd_39ad601f-6a61-47f3-a72e-0876073a8bb1 \* MERGEFORMAT </w:instrText>
      </w:r>
      <w:r w:rsidR="0011019E" w:rsidRPr="00D21D8C">
        <w:rPr>
          <w:rFonts w:asciiTheme="majorBidi" w:hAnsiTheme="majorBidi" w:cstheme="majorBidi"/>
          <w:color w:val="000000"/>
          <w:szCs w:val="22"/>
          <w:u w:val="single"/>
        </w:rPr>
        <w:fldChar w:fldCharType="separate"/>
      </w:r>
      <w:r w:rsidR="0011019E" w:rsidRPr="00D21D8C">
        <w:rPr>
          <w:rFonts w:asciiTheme="majorBidi" w:hAnsiTheme="majorBidi" w:cstheme="majorBidi"/>
          <w:color w:val="000000"/>
          <w:szCs w:val="22"/>
          <w:u w:val="single"/>
        </w:rPr>
        <w:t xml:space="preserve"> </w:t>
      </w:r>
      <w:r w:rsidR="0011019E" w:rsidRPr="00D21D8C">
        <w:rPr>
          <w:rFonts w:asciiTheme="majorBidi" w:hAnsiTheme="majorBidi" w:cstheme="majorBidi"/>
          <w:color w:val="000000"/>
          <w:szCs w:val="22"/>
          <w:u w:val="single"/>
        </w:rPr>
        <w:fldChar w:fldCharType="end"/>
      </w:r>
    </w:p>
    <w:p w14:paraId="3C916F26" w14:textId="77777777" w:rsidR="001A274F" w:rsidRPr="00D21D8C" w:rsidRDefault="001A274F">
      <w:pPr>
        <w:keepNext/>
        <w:spacing w:line="240" w:lineRule="auto"/>
        <w:outlineLvl w:val="0"/>
        <w:rPr>
          <w:rFonts w:asciiTheme="majorBidi" w:hAnsiTheme="majorBidi" w:cstheme="majorBidi"/>
          <w:szCs w:val="22"/>
          <w:u w:val="single"/>
        </w:rPr>
      </w:pPr>
    </w:p>
    <w:p w14:paraId="3261E829" w14:textId="77777777" w:rsidR="001A274F" w:rsidRPr="00D21D8C" w:rsidRDefault="00DA418A">
      <w:pPr>
        <w:keepNext/>
        <w:spacing w:line="240" w:lineRule="auto"/>
        <w:ind w:right="-2"/>
        <w:rPr>
          <w:rFonts w:asciiTheme="majorBidi" w:hAnsiTheme="majorBidi" w:cstheme="majorBidi"/>
          <w:iCs/>
          <w:szCs w:val="22"/>
        </w:rPr>
      </w:pPr>
      <w:r w:rsidRPr="00D21D8C">
        <w:rPr>
          <w:rFonts w:asciiTheme="majorBidi" w:hAnsiTheme="majorBidi" w:cstheme="majorBidi"/>
          <w:iCs/>
          <w:color w:val="000000"/>
          <w:szCs w:val="22"/>
          <w:u w:color="FFFFFF"/>
        </w:rPr>
        <w:t>Dit geneesmiddel is geregistreerd in het kader van een zogeheten ‘voorwaardelijke toelating’. Dit betekent dat aanvullend bewijs over de baten van dit geneesmiddel wordt afgewacht.</w:t>
      </w:r>
    </w:p>
    <w:p w14:paraId="71144130" w14:textId="77777777" w:rsidR="001A274F" w:rsidRPr="00D21D8C" w:rsidRDefault="00DA418A">
      <w:pPr>
        <w:keepNext/>
        <w:spacing w:line="240" w:lineRule="auto"/>
        <w:ind w:right="-2"/>
        <w:rPr>
          <w:rFonts w:asciiTheme="majorBidi" w:hAnsiTheme="majorBidi" w:cstheme="majorBidi"/>
          <w:iCs/>
          <w:szCs w:val="22"/>
        </w:rPr>
      </w:pPr>
      <w:r w:rsidRPr="00D21D8C">
        <w:rPr>
          <w:rFonts w:asciiTheme="majorBidi" w:hAnsiTheme="majorBidi" w:cstheme="majorBidi"/>
          <w:iCs/>
          <w:color w:val="000000"/>
          <w:szCs w:val="22"/>
          <w:u w:color="FFFFFF"/>
        </w:rPr>
        <w:t>Het Europees Geneesmiddelenbureau zal nieuwe informatie over dit geneesmiddel op zijn minst eenmaal per jaar beoordelen en zo nodig deze SPC aanpassen.</w:t>
      </w:r>
    </w:p>
    <w:p w14:paraId="3115B58A" w14:textId="77777777" w:rsidR="001A274F" w:rsidRPr="00D21D8C" w:rsidRDefault="001A274F">
      <w:pPr>
        <w:spacing w:line="240" w:lineRule="auto"/>
        <w:ind w:right="-2"/>
        <w:rPr>
          <w:rFonts w:asciiTheme="majorBidi" w:hAnsiTheme="majorBidi" w:cstheme="majorBidi"/>
          <w:iCs/>
          <w:szCs w:val="22"/>
        </w:rPr>
      </w:pPr>
    </w:p>
    <w:p w14:paraId="28E24693" w14:textId="7E5626DE" w:rsidR="001A274F" w:rsidRPr="00D21D8C" w:rsidRDefault="00DA418A">
      <w:pPr>
        <w:keepNext/>
        <w:spacing w:line="240" w:lineRule="auto"/>
        <w:ind w:left="567" w:hanging="567"/>
        <w:outlineLvl w:val="0"/>
        <w:rPr>
          <w:rFonts w:asciiTheme="majorBidi" w:hAnsiTheme="majorBidi" w:cstheme="majorBidi"/>
          <w:b/>
          <w:szCs w:val="22"/>
        </w:rPr>
      </w:pPr>
      <w:r w:rsidRPr="00D21D8C">
        <w:rPr>
          <w:rFonts w:asciiTheme="majorBidi" w:hAnsiTheme="majorBidi" w:cstheme="majorBidi"/>
          <w:b/>
          <w:bCs/>
          <w:color w:val="000000"/>
          <w:szCs w:val="22"/>
          <w:u w:color="FFFFFF"/>
        </w:rPr>
        <w:t>5.2</w:t>
      </w:r>
      <w:r w:rsidRPr="00D21D8C">
        <w:rPr>
          <w:rFonts w:asciiTheme="majorBidi" w:hAnsiTheme="majorBidi" w:cstheme="majorBidi"/>
          <w:b/>
          <w:bCs/>
          <w:color w:val="000000"/>
          <w:szCs w:val="22"/>
          <w:u w:color="FFFFFF"/>
        </w:rPr>
        <w:tab/>
        <w:t>Farmacokinetische eigenschappen</w:t>
      </w:r>
      <w:r w:rsidR="0011019E" w:rsidRPr="00D21D8C">
        <w:rPr>
          <w:rFonts w:asciiTheme="majorBidi" w:hAnsiTheme="majorBidi" w:cstheme="majorBidi"/>
          <w:b/>
          <w:bCs/>
          <w:color w:val="000000"/>
          <w:szCs w:val="22"/>
          <w:u w:color="FFFFFF"/>
        </w:rPr>
        <w:fldChar w:fldCharType="begin"/>
      </w:r>
      <w:r w:rsidR="0011019E" w:rsidRPr="00D21D8C">
        <w:rPr>
          <w:rFonts w:asciiTheme="majorBidi" w:hAnsiTheme="majorBidi" w:cstheme="majorBidi"/>
          <w:b/>
          <w:bCs/>
          <w:color w:val="000000"/>
          <w:szCs w:val="22"/>
          <w:u w:color="FFFFFF"/>
        </w:rPr>
        <w:instrText xml:space="preserve"> DOCVARIABLE vault_nd_9bd48c26-d55c-41c7-bc0d-0633cdd019d9 \* MERGEFORMAT </w:instrText>
      </w:r>
      <w:r w:rsidR="0011019E" w:rsidRPr="00D21D8C">
        <w:rPr>
          <w:rFonts w:asciiTheme="majorBidi" w:hAnsiTheme="majorBidi" w:cstheme="majorBidi"/>
          <w:b/>
          <w:bCs/>
          <w:color w:val="000000"/>
          <w:szCs w:val="22"/>
          <w:u w:color="FFFFFF"/>
        </w:rPr>
        <w:fldChar w:fldCharType="separate"/>
      </w:r>
      <w:r w:rsidR="0011019E" w:rsidRPr="00D21D8C">
        <w:rPr>
          <w:rFonts w:asciiTheme="majorBidi" w:hAnsiTheme="majorBidi" w:cstheme="majorBidi"/>
          <w:b/>
          <w:bCs/>
          <w:color w:val="000000"/>
          <w:szCs w:val="22"/>
          <w:u w:color="FFFFFF"/>
        </w:rPr>
        <w:t xml:space="preserve"> </w:t>
      </w:r>
      <w:r w:rsidR="0011019E" w:rsidRPr="00D21D8C">
        <w:rPr>
          <w:rFonts w:asciiTheme="majorBidi" w:hAnsiTheme="majorBidi" w:cstheme="majorBidi"/>
          <w:b/>
          <w:bCs/>
          <w:color w:val="000000"/>
          <w:szCs w:val="22"/>
          <w:u w:color="FFFFFF"/>
        </w:rPr>
        <w:fldChar w:fldCharType="end"/>
      </w:r>
    </w:p>
    <w:p w14:paraId="0BBA4E45" w14:textId="77777777" w:rsidR="001A274F" w:rsidRPr="00D21D8C" w:rsidRDefault="001A274F">
      <w:pPr>
        <w:keepNext/>
        <w:spacing w:line="240" w:lineRule="auto"/>
        <w:ind w:left="567" w:hanging="567"/>
        <w:outlineLvl w:val="0"/>
        <w:rPr>
          <w:rFonts w:asciiTheme="majorBidi" w:hAnsiTheme="majorBidi" w:cstheme="majorBidi"/>
          <w:b/>
          <w:szCs w:val="22"/>
        </w:rPr>
      </w:pPr>
    </w:p>
    <w:p w14:paraId="055970E1" w14:textId="24F8F7BB" w:rsidR="001A274F" w:rsidRPr="00D21D8C" w:rsidRDefault="00DA418A">
      <w:pPr>
        <w:keepNext/>
        <w:tabs>
          <w:tab w:val="clear" w:pos="567"/>
          <w:tab w:val="left" w:pos="0"/>
        </w:tabs>
        <w:spacing w:line="240" w:lineRule="auto"/>
        <w:outlineLvl w:val="0"/>
        <w:rPr>
          <w:rFonts w:asciiTheme="majorBidi" w:hAnsiTheme="majorBidi" w:cstheme="majorBidi"/>
          <w:bCs/>
          <w:szCs w:val="22"/>
        </w:rPr>
      </w:pPr>
      <w:r w:rsidRPr="00D21D8C">
        <w:rPr>
          <w:rFonts w:asciiTheme="majorBidi" w:hAnsiTheme="majorBidi" w:cstheme="majorBidi"/>
          <w:bCs/>
          <w:color w:val="000000"/>
          <w:szCs w:val="22"/>
          <w:u w:color="FFFFFF"/>
        </w:rPr>
        <w:t xml:space="preserve">De farmacokinetiek van pirtobrutinib werd </w:t>
      </w:r>
      <w:r w:rsidR="00EE7C55" w:rsidRPr="00D21D8C">
        <w:rPr>
          <w:rFonts w:asciiTheme="majorBidi" w:hAnsiTheme="majorBidi" w:cstheme="majorBidi"/>
          <w:bCs/>
          <w:color w:val="000000"/>
          <w:szCs w:val="22"/>
          <w:u w:color="FFFFFF"/>
        </w:rPr>
        <w:t xml:space="preserve">vastgesteld </w:t>
      </w:r>
      <w:r w:rsidRPr="00D21D8C">
        <w:rPr>
          <w:rFonts w:asciiTheme="majorBidi" w:hAnsiTheme="majorBidi" w:cstheme="majorBidi"/>
          <w:bCs/>
          <w:color w:val="000000"/>
          <w:szCs w:val="22"/>
          <w:u w:color="FFFFFF"/>
        </w:rPr>
        <w:t xml:space="preserve">bij gezonde proefpersonen en bij patiënten met kanker. De doses varieerden van 25 mg tot 300 mg eenmaal daags (0,125 tot 1,5 keer de aanbevolen dosis van 200 mg eenmaal daags), tot enkelvoudige doses van 900 mg. Verhogingen in plasmablootstelling waren ongeveer </w:t>
      </w:r>
      <w:r w:rsidR="00471F15" w:rsidRPr="00D21D8C">
        <w:rPr>
          <w:rFonts w:asciiTheme="majorBidi" w:hAnsiTheme="majorBidi" w:cstheme="majorBidi"/>
          <w:bCs/>
          <w:color w:val="000000"/>
          <w:szCs w:val="22"/>
          <w:u w:color="FFFFFF"/>
        </w:rPr>
        <w:t>dosisproportioneel</w:t>
      </w:r>
      <w:r w:rsidRPr="00D21D8C">
        <w:rPr>
          <w:rFonts w:asciiTheme="majorBidi" w:hAnsiTheme="majorBidi" w:cstheme="majorBidi"/>
          <w:bCs/>
          <w:color w:val="000000"/>
          <w:szCs w:val="22"/>
          <w:u w:color="FFFFFF"/>
        </w:rPr>
        <w:t>. Steady state werd bereikt binnen 5 dagen na eenmaal daagse dosering, en bij kankerpatiënten was de gemiddelde [</w:t>
      </w:r>
      <w:r w:rsidR="004D2D0B" w:rsidRPr="00D21D8C">
        <w:rPr>
          <w:rFonts w:asciiTheme="majorBidi" w:hAnsiTheme="majorBidi" w:cstheme="majorBidi"/>
          <w:bCs/>
          <w:color w:val="000000"/>
          <w:szCs w:val="22"/>
          <w:u w:color="FFFFFF"/>
        </w:rPr>
        <w:t>variatiecoëfficiënt</w:t>
      </w:r>
      <w:r w:rsidRPr="00D21D8C">
        <w:rPr>
          <w:rFonts w:asciiTheme="majorBidi" w:hAnsiTheme="majorBidi" w:cstheme="majorBidi"/>
          <w:bCs/>
          <w:color w:val="000000"/>
          <w:szCs w:val="22"/>
          <w:u w:color="FFFFFF"/>
        </w:rPr>
        <w:t xml:space="preserve"> (CV%)] accumulatieratio na toediening van 200 mg eenmaal daags 1,63 (26,7%) op basis van </w:t>
      </w:r>
      <w:r w:rsidR="00EC1F3F" w:rsidRPr="00D21D8C">
        <w:rPr>
          <w:rFonts w:asciiTheme="majorBidi" w:hAnsiTheme="majorBidi" w:cstheme="majorBidi"/>
          <w:bCs/>
          <w:color w:val="000000"/>
          <w:szCs w:val="22"/>
          <w:u w:color="FFFFFF"/>
        </w:rPr>
        <w:t xml:space="preserve">de </w:t>
      </w:r>
      <w:r w:rsidRPr="00D21D8C">
        <w:rPr>
          <w:rFonts w:asciiTheme="majorBidi" w:hAnsiTheme="majorBidi" w:cstheme="majorBidi"/>
          <w:bCs/>
          <w:color w:val="000000"/>
          <w:szCs w:val="22"/>
          <w:u w:color="FFFFFF"/>
        </w:rPr>
        <w:t>AUC.</w:t>
      </w:r>
      <w:r w:rsidR="00904561" w:rsidRPr="00D21D8C">
        <w:t xml:space="preserve"> </w:t>
      </w:r>
      <w:r w:rsidR="00904561" w:rsidRPr="00D21D8C">
        <w:rPr>
          <w:rFonts w:asciiTheme="majorBidi" w:hAnsiTheme="majorBidi" w:cstheme="majorBidi"/>
          <w:bCs/>
          <w:color w:val="000000"/>
          <w:szCs w:val="22"/>
          <w:u w:color="FFFFFF"/>
        </w:rPr>
        <w:t xml:space="preserve">Drie patiëntfactoren werden toegeschreven aan veranderingen in de farmacokinetiek van pirtobrutinib: lichaamsgewicht, serumalbumine en absolute eGFR. </w:t>
      </w:r>
      <w:r w:rsidR="0037766E" w:rsidRPr="00D21D8C">
        <w:rPr>
          <w:rFonts w:asciiTheme="majorBidi" w:hAnsiTheme="majorBidi" w:cstheme="majorBidi"/>
          <w:bCs/>
          <w:color w:val="000000"/>
          <w:szCs w:val="22"/>
          <w:u w:color="FFFFFF"/>
        </w:rPr>
        <w:t xml:space="preserve">Een toename van het lichaamsgewicht van 70 kg naar 120 kg zal naar verwachting de klaring van pirtobrutinib met 24% verhogen; een verlaging van de absolute eGFR van 90 ml/min tot 30 ml/min zal naar verwachting de klaring van pirtobrutinib met 16% verminderen; en een verlaging van serumalbumine van 40 g/liter naar 30 g/liter zal naar verwachting de klaring van pirtobrutinib met 21% verhogen. </w:t>
      </w:r>
      <w:r w:rsidR="005C677C" w:rsidRPr="00D21D8C">
        <w:rPr>
          <w:rFonts w:asciiTheme="majorBidi" w:hAnsiTheme="majorBidi" w:cstheme="majorBidi"/>
          <w:bCs/>
          <w:color w:val="000000"/>
          <w:szCs w:val="22"/>
          <w:u w:color="FFFFFF"/>
        </w:rPr>
        <w:t>Het is onwaarschijnlijk dat d</w:t>
      </w:r>
      <w:r w:rsidR="00904561" w:rsidRPr="00D21D8C">
        <w:rPr>
          <w:rFonts w:asciiTheme="majorBidi" w:hAnsiTheme="majorBidi" w:cstheme="majorBidi"/>
          <w:bCs/>
          <w:color w:val="000000"/>
          <w:szCs w:val="22"/>
          <w:u w:color="FFFFFF"/>
        </w:rPr>
        <w:t>eze factoren alleen</w:t>
      </w:r>
      <w:r w:rsidR="005C677C" w:rsidRPr="00D21D8C">
        <w:rPr>
          <w:rFonts w:asciiTheme="majorBidi" w:hAnsiTheme="majorBidi" w:cstheme="majorBidi"/>
          <w:bCs/>
          <w:color w:val="000000"/>
          <w:szCs w:val="22"/>
          <w:u w:color="FFFFFF"/>
        </w:rPr>
        <w:t xml:space="preserve"> zullen</w:t>
      </w:r>
      <w:r w:rsidR="00904561" w:rsidRPr="00D21D8C">
        <w:rPr>
          <w:rFonts w:asciiTheme="majorBidi" w:hAnsiTheme="majorBidi" w:cstheme="majorBidi"/>
          <w:bCs/>
          <w:color w:val="000000"/>
          <w:szCs w:val="22"/>
          <w:u w:color="FFFFFF"/>
        </w:rPr>
        <w:t xml:space="preserve"> leiden</w:t>
      </w:r>
      <w:r w:rsidR="0037766E" w:rsidRPr="00D21D8C">
        <w:rPr>
          <w:rFonts w:asciiTheme="majorBidi" w:hAnsiTheme="majorBidi" w:cstheme="majorBidi"/>
          <w:bCs/>
          <w:color w:val="000000"/>
          <w:szCs w:val="22"/>
          <w:u w:color="FFFFFF"/>
        </w:rPr>
        <w:t xml:space="preserve"> </w:t>
      </w:r>
      <w:r w:rsidR="00904561" w:rsidRPr="00D21D8C">
        <w:rPr>
          <w:rFonts w:asciiTheme="majorBidi" w:hAnsiTheme="majorBidi" w:cstheme="majorBidi"/>
          <w:bCs/>
          <w:color w:val="000000"/>
          <w:szCs w:val="22"/>
          <w:u w:color="FFFFFF"/>
        </w:rPr>
        <w:t>tot betekenisvolle veranderingen in de farmacokinetiek van pirtobrutinib en dosisaanpassingen worden niet aanbevolen.</w:t>
      </w:r>
      <w:r w:rsidR="0011019E" w:rsidRPr="00D21D8C">
        <w:rPr>
          <w:rFonts w:asciiTheme="majorBidi" w:hAnsiTheme="majorBidi" w:cstheme="majorBidi"/>
          <w:bCs/>
          <w:color w:val="000000"/>
          <w:szCs w:val="22"/>
          <w:u w:color="FFFFFF"/>
        </w:rPr>
        <w:fldChar w:fldCharType="begin"/>
      </w:r>
      <w:r w:rsidR="0011019E" w:rsidRPr="00D21D8C">
        <w:rPr>
          <w:rFonts w:asciiTheme="majorBidi" w:hAnsiTheme="majorBidi" w:cstheme="majorBidi"/>
          <w:bCs/>
          <w:color w:val="000000"/>
          <w:szCs w:val="22"/>
          <w:u w:color="FFFFFF"/>
        </w:rPr>
        <w:instrText xml:space="preserve"> DOCVARIABLE vault_nd_b9588d4b-fac5-4156-b080-1d53280cec80 \* MERGEFORMAT </w:instrText>
      </w:r>
      <w:r w:rsidR="0011019E" w:rsidRPr="00D21D8C">
        <w:rPr>
          <w:rFonts w:asciiTheme="majorBidi" w:hAnsiTheme="majorBidi" w:cstheme="majorBidi"/>
          <w:bCs/>
          <w:color w:val="000000"/>
          <w:szCs w:val="22"/>
          <w:u w:color="FFFFFF"/>
        </w:rPr>
        <w:fldChar w:fldCharType="separate"/>
      </w:r>
      <w:r w:rsidR="0011019E" w:rsidRPr="00D21D8C">
        <w:rPr>
          <w:rFonts w:asciiTheme="majorBidi" w:hAnsiTheme="majorBidi" w:cstheme="majorBidi"/>
          <w:bCs/>
          <w:color w:val="000000"/>
          <w:szCs w:val="22"/>
          <w:u w:color="FFFFFF"/>
        </w:rPr>
        <w:t xml:space="preserve"> </w:t>
      </w:r>
      <w:r w:rsidR="0011019E" w:rsidRPr="00D21D8C">
        <w:rPr>
          <w:rFonts w:asciiTheme="majorBidi" w:hAnsiTheme="majorBidi" w:cstheme="majorBidi"/>
          <w:bCs/>
          <w:color w:val="000000"/>
          <w:szCs w:val="22"/>
          <w:u w:color="FFFFFF"/>
        </w:rPr>
        <w:fldChar w:fldCharType="end"/>
      </w:r>
    </w:p>
    <w:p w14:paraId="534C29F9" w14:textId="77777777" w:rsidR="001A274F" w:rsidRPr="00D21D8C" w:rsidRDefault="001A274F">
      <w:pPr>
        <w:tabs>
          <w:tab w:val="clear" w:pos="567"/>
          <w:tab w:val="left" w:pos="0"/>
        </w:tabs>
        <w:spacing w:line="240" w:lineRule="auto"/>
        <w:outlineLvl w:val="0"/>
        <w:rPr>
          <w:rFonts w:asciiTheme="majorBidi" w:hAnsiTheme="majorBidi" w:cstheme="majorBidi"/>
          <w:bCs/>
          <w:szCs w:val="22"/>
        </w:rPr>
      </w:pPr>
    </w:p>
    <w:p w14:paraId="2BF3252D" w14:textId="389870BA" w:rsidR="001A274F" w:rsidRPr="00D21D8C" w:rsidRDefault="00DA418A">
      <w:pPr>
        <w:tabs>
          <w:tab w:val="clear" w:pos="567"/>
          <w:tab w:val="left" w:pos="0"/>
        </w:tabs>
        <w:spacing w:line="240" w:lineRule="auto"/>
        <w:outlineLvl w:val="0"/>
        <w:rPr>
          <w:rFonts w:asciiTheme="majorBidi" w:hAnsiTheme="majorBidi" w:cstheme="majorBidi"/>
          <w:szCs w:val="22"/>
        </w:rPr>
      </w:pPr>
      <w:r w:rsidRPr="00D21D8C">
        <w:rPr>
          <w:rFonts w:asciiTheme="majorBidi" w:hAnsiTheme="majorBidi" w:cstheme="majorBidi"/>
          <w:bCs/>
          <w:color w:val="000000"/>
          <w:szCs w:val="22"/>
          <w:u w:color="FFFFFF"/>
        </w:rPr>
        <w:t>De gemiddelde (CV%) steady</w:t>
      </w:r>
      <w:r w:rsidRPr="00D21D8C">
        <w:rPr>
          <w:rFonts w:asciiTheme="majorBidi" w:hAnsiTheme="majorBidi" w:cstheme="majorBidi"/>
          <w:bCs/>
          <w:color w:val="000000"/>
          <w:szCs w:val="22"/>
          <w:u w:color="FFFFFF"/>
        </w:rPr>
        <w:noBreakHyphen/>
        <w:t>state AUC en C</w:t>
      </w:r>
      <w:r w:rsidRPr="00D21D8C">
        <w:rPr>
          <w:rFonts w:asciiTheme="majorBidi" w:hAnsiTheme="majorBidi" w:cstheme="majorBidi"/>
          <w:bCs/>
          <w:color w:val="000000"/>
          <w:szCs w:val="22"/>
          <w:u w:color="FFFFFF"/>
          <w:vertAlign w:val="subscript"/>
        </w:rPr>
        <w:t>max</w:t>
      </w:r>
      <w:r w:rsidRPr="00D21D8C">
        <w:rPr>
          <w:rFonts w:asciiTheme="majorBidi" w:hAnsiTheme="majorBidi" w:cstheme="majorBidi"/>
          <w:bCs/>
          <w:color w:val="000000"/>
          <w:szCs w:val="22"/>
          <w:u w:color="FFFFFF"/>
        </w:rPr>
        <w:t xml:space="preserve"> waren respectievelijk 9</w:t>
      </w:r>
      <w:r w:rsidR="00BF64EE" w:rsidRPr="00D21D8C">
        <w:rPr>
          <w:rFonts w:asciiTheme="majorBidi" w:hAnsiTheme="majorBidi" w:cstheme="majorBidi"/>
          <w:bCs/>
          <w:color w:val="000000"/>
          <w:szCs w:val="22"/>
          <w:u w:color="FFFFFF"/>
        </w:rPr>
        <w:t>2</w:t>
      </w:r>
      <w:r w:rsidRPr="00D21D8C">
        <w:rPr>
          <w:rFonts w:asciiTheme="majorBidi" w:hAnsiTheme="majorBidi" w:cstheme="majorBidi"/>
          <w:bCs/>
          <w:color w:val="000000"/>
          <w:szCs w:val="22"/>
          <w:u w:color="FFFFFF"/>
        </w:rPr>
        <w:t>.</w:t>
      </w:r>
      <w:r w:rsidR="00BF64EE" w:rsidRPr="00D21D8C">
        <w:rPr>
          <w:rFonts w:asciiTheme="majorBidi" w:hAnsiTheme="majorBidi" w:cstheme="majorBidi"/>
          <w:bCs/>
          <w:color w:val="000000"/>
          <w:szCs w:val="22"/>
          <w:u w:color="FFFFFF"/>
        </w:rPr>
        <w:t>6</w:t>
      </w:r>
      <w:r w:rsidRPr="00D21D8C">
        <w:rPr>
          <w:rFonts w:asciiTheme="majorBidi" w:hAnsiTheme="majorBidi" w:cstheme="majorBidi"/>
          <w:bCs/>
          <w:color w:val="000000"/>
          <w:szCs w:val="22"/>
          <w:u w:color="FFFFFF"/>
        </w:rPr>
        <w:t>00 </w:t>
      </w:r>
      <w:r w:rsidR="00634733" w:rsidRPr="00D21D8C">
        <w:rPr>
          <w:rFonts w:asciiTheme="majorBidi" w:hAnsiTheme="majorBidi" w:cstheme="majorBidi"/>
          <w:bCs/>
          <w:color w:val="000000"/>
          <w:szCs w:val="22"/>
          <w:u w:color="FFFFFF"/>
        </w:rPr>
        <w:t>h</w:t>
      </w:r>
      <w:r w:rsidRPr="00D21D8C">
        <w:rPr>
          <w:rFonts w:asciiTheme="majorBidi" w:hAnsiTheme="majorBidi" w:cstheme="majorBidi"/>
          <w:bCs/>
          <w:color w:val="000000"/>
          <w:szCs w:val="22"/>
          <w:u w:color="FFFFFF"/>
        </w:rPr>
        <w:t>*ng/m</w:t>
      </w:r>
      <w:r w:rsidR="00B4066A" w:rsidRPr="00D21D8C">
        <w:rPr>
          <w:rFonts w:asciiTheme="majorBidi" w:hAnsiTheme="majorBidi" w:cstheme="majorBidi"/>
          <w:bCs/>
          <w:color w:val="000000"/>
          <w:szCs w:val="22"/>
          <w:u w:color="FFFFFF"/>
        </w:rPr>
        <w:t>l</w:t>
      </w:r>
      <w:r w:rsidRPr="00D21D8C">
        <w:rPr>
          <w:rFonts w:asciiTheme="majorBidi" w:hAnsiTheme="majorBidi" w:cstheme="majorBidi"/>
          <w:bCs/>
          <w:color w:val="000000"/>
          <w:szCs w:val="22"/>
          <w:u w:color="FFFFFF"/>
        </w:rPr>
        <w:t xml:space="preserve"> (</w:t>
      </w:r>
      <w:r w:rsidR="00BF64EE" w:rsidRPr="00D21D8C">
        <w:rPr>
          <w:rFonts w:asciiTheme="majorBidi" w:hAnsiTheme="majorBidi" w:cstheme="majorBidi"/>
          <w:bCs/>
          <w:color w:val="000000"/>
          <w:szCs w:val="22"/>
          <w:u w:color="FFFFFF"/>
        </w:rPr>
        <w:t>39</w:t>
      </w:r>
      <w:r w:rsidRPr="00D21D8C">
        <w:rPr>
          <w:rFonts w:asciiTheme="majorBidi" w:hAnsiTheme="majorBidi" w:cstheme="majorBidi"/>
          <w:bCs/>
          <w:color w:val="000000"/>
          <w:szCs w:val="22"/>
          <w:u w:color="FFFFFF"/>
        </w:rPr>
        <w:t>%) en 6.</w:t>
      </w:r>
      <w:r w:rsidR="00BF64EE" w:rsidRPr="00D21D8C">
        <w:rPr>
          <w:rFonts w:asciiTheme="majorBidi" w:hAnsiTheme="majorBidi" w:cstheme="majorBidi"/>
          <w:bCs/>
          <w:color w:val="000000"/>
          <w:szCs w:val="22"/>
          <w:u w:color="FFFFFF"/>
        </w:rPr>
        <w:t>50</w:t>
      </w:r>
      <w:r w:rsidRPr="00D21D8C">
        <w:rPr>
          <w:rFonts w:asciiTheme="majorBidi" w:hAnsiTheme="majorBidi" w:cstheme="majorBidi"/>
          <w:bCs/>
          <w:color w:val="000000"/>
          <w:szCs w:val="22"/>
          <w:u w:color="FFFFFF"/>
        </w:rPr>
        <w:t>0 ng/ml (2</w:t>
      </w:r>
      <w:r w:rsidR="00BF64EE" w:rsidRPr="00D21D8C">
        <w:rPr>
          <w:rFonts w:asciiTheme="majorBidi" w:hAnsiTheme="majorBidi" w:cstheme="majorBidi"/>
          <w:bCs/>
          <w:color w:val="000000"/>
          <w:szCs w:val="22"/>
          <w:u w:color="FFFFFF"/>
        </w:rPr>
        <w:t>5</w:t>
      </w:r>
      <w:r w:rsidRPr="00D21D8C">
        <w:rPr>
          <w:rFonts w:asciiTheme="majorBidi" w:hAnsiTheme="majorBidi" w:cstheme="majorBidi"/>
          <w:bCs/>
          <w:color w:val="000000"/>
          <w:szCs w:val="22"/>
          <w:u w:color="FFFFFF"/>
        </w:rPr>
        <w:t>%) bij de aanbevolen dosis van 200 mg eenmaal daags bij kankerpatiënten.</w:t>
      </w:r>
      <w:r w:rsidR="0011019E" w:rsidRPr="00D21D8C">
        <w:rPr>
          <w:rFonts w:asciiTheme="majorBidi" w:hAnsiTheme="majorBidi" w:cstheme="majorBidi"/>
          <w:bCs/>
          <w:color w:val="000000"/>
          <w:szCs w:val="22"/>
          <w:u w:color="FFFFFF"/>
        </w:rPr>
        <w:fldChar w:fldCharType="begin"/>
      </w:r>
      <w:r w:rsidR="0011019E" w:rsidRPr="00D21D8C">
        <w:rPr>
          <w:rFonts w:asciiTheme="majorBidi" w:hAnsiTheme="majorBidi" w:cstheme="majorBidi"/>
          <w:bCs/>
          <w:color w:val="000000"/>
          <w:szCs w:val="22"/>
          <w:u w:color="FFFFFF"/>
        </w:rPr>
        <w:instrText xml:space="preserve"> DOCVARIABLE vault_nd_b882bcee-b242-48fe-83ab-438ae87ab88c \* MERGEFORMAT </w:instrText>
      </w:r>
      <w:r w:rsidR="0011019E" w:rsidRPr="00D21D8C">
        <w:rPr>
          <w:rFonts w:asciiTheme="majorBidi" w:hAnsiTheme="majorBidi" w:cstheme="majorBidi"/>
          <w:bCs/>
          <w:color w:val="000000"/>
          <w:szCs w:val="22"/>
          <w:u w:color="FFFFFF"/>
        </w:rPr>
        <w:fldChar w:fldCharType="separate"/>
      </w:r>
      <w:r w:rsidR="0011019E" w:rsidRPr="00D21D8C">
        <w:rPr>
          <w:rFonts w:asciiTheme="majorBidi" w:hAnsiTheme="majorBidi" w:cstheme="majorBidi"/>
          <w:bCs/>
          <w:color w:val="000000"/>
          <w:szCs w:val="22"/>
          <w:u w:color="FFFFFF"/>
        </w:rPr>
        <w:t xml:space="preserve"> </w:t>
      </w:r>
      <w:r w:rsidR="0011019E" w:rsidRPr="00D21D8C">
        <w:rPr>
          <w:rFonts w:asciiTheme="majorBidi" w:hAnsiTheme="majorBidi" w:cstheme="majorBidi"/>
          <w:bCs/>
          <w:color w:val="000000"/>
          <w:szCs w:val="22"/>
          <w:u w:color="FFFFFF"/>
        </w:rPr>
        <w:fldChar w:fldCharType="end"/>
      </w:r>
    </w:p>
    <w:p w14:paraId="29E60285" w14:textId="77777777" w:rsidR="001A274F" w:rsidRPr="00D21D8C" w:rsidRDefault="001A274F">
      <w:pPr>
        <w:tabs>
          <w:tab w:val="clear" w:pos="567"/>
          <w:tab w:val="left" w:pos="0"/>
        </w:tabs>
        <w:spacing w:line="240" w:lineRule="auto"/>
        <w:outlineLvl w:val="0"/>
        <w:rPr>
          <w:rFonts w:asciiTheme="majorBidi" w:hAnsiTheme="majorBidi" w:cstheme="majorBidi"/>
          <w:szCs w:val="22"/>
        </w:rPr>
      </w:pPr>
    </w:p>
    <w:p w14:paraId="77FB739E" w14:textId="4A898385" w:rsidR="001A274F" w:rsidRPr="00D21D8C" w:rsidRDefault="00DA418A">
      <w:pPr>
        <w:spacing w:line="240" w:lineRule="auto"/>
        <w:rPr>
          <w:rFonts w:asciiTheme="majorBidi" w:hAnsiTheme="majorBidi" w:cstheme="majorBidi"/>
          <w:szCs w:val="22"/>
        </w:rPr>
      </w:pPr>
      <w:r w:rsidRPr="00D21D8C">
        <w:rPr>
          <w:rFonts w:asciiTheme="majorBidi" w:hAnsiTheme="majorBidi" w:cstheme="majorBidi"/>
          <w:color w:val="000000"/>
          <w:szCs w:val="22"/>
          <w:u w:color="FFFFFF"/>
        </w:rPr>
        <w:t>Bij de aanbevolen dosering bereikte pirtobrutinib farmacokinetische blootstellingen die hoger kunnen zijn dan de BTK IC</w:t>
      </w:r>
      <w:r w:rsidRPr="00D21D8C">
        <w:rPr>
          <w:rFonts w:asciiTheme="majorBidi" w:hAnsiTheme="majorBidi" w:cstheme="majorBidi"/>
          <w:color w:val="000000"/>
          <w:szCs w:val="22"/>
          <w:u w:color="FFFFFF"/>
          <w:vertAlign w:val="subscript"/>
        </w:rPr>
        <w:t>96</w:t>
      </w:r>
      <w:r w:rsidRPr="00D21D8C">
        <w:rPr>
          <w:rFonts w:asciiTheme="majorBidi" w:hAnsiTheme="majorBidi" w:cstheme="majorBidi"/>
          <w:color w:val="000000"/>
          <w:szCs w:val="22"/>
          <w:u w:color="FFFFFF"/>
        </w:rPr>
        <w:t xml:space="preserve"> bij dalwaarde en daarmee tonische BTK-remming </w:t>
      </w:r>
      <w:r w:rsidR="000F0734" w:rsidRPr="00D21D8C">
        <w:rPr>
          <w:rFonts w:asciiTheme="majorBidi" w:hAnsiTheme="majorBidi" w:cstheme="majorBidi"/>
          <w:color w:val="000000"/>
          <w:szCs w:val="22"/>
          <w:u w:color="FFFFFF"/>
        </w:rPr>
        <w:t xml:space="preserve">geven </w:t>
      </w:r>
      <w:r w:rsidR="00EC1F3F" w:rsidRPr="00D21D8C">
        <w:rPr>
          <w:rFonts w:asciiTheme="majorBidi" w:hAnsiTheme="majorBidi" w:cstheme="majorBidi"/>
          <w:color w:val="000000"/>
          <w:szCs w:val="22"/>
          <w:u w:color="FFFFFF"/>
        </w:rPr>
        <w:t xml:space="preserve">gedurende </w:t>
      </w:r>
      <w:r w:rsidRPr="00D21D8C">
        <w:rPr>
          <w:rFonts w:asciiTheme="majorBidi" w:hAnsiTheme="majorBidi" w:cstheme="majorBidi"/>
          <w:color w:val="000000"/>
          <w:szCs w:val="22"/>
          <w:u w:color="FFFFFF"/>
        </w:rPr>
        <w:t>de eenmaal daags doseringsperiode, ongeacht de intrinsieke mate van BTK-omzetting.</w:t>
      </w:r>
    </w:p>
    <w:p w14:paraId="048F634C" w14:textId="77777777" w:rsidR="001A274F" w:rsidRPr="00D21D8C" w:rsidRDefault="001A274F">
      <w:pPr>
        <w:spacing w:line="240" w:lineRule="auto"/>
        <w:rPr>
          <w:rFonts w:asciiTheme="majorBidi" w:hAnsiTheme="majorBidi" w:cstheme="majorBidi"/>
          <w:szCs w:val="22"/>
        </w:rPr>
      </w:pPr>
    </w:p>
    <w:p w14:paraId="0BE1077F" w14:textId="77777777" w:rsidR="001A274F" w:rsidRPr="00D21D8C" w:rsidRDefault="00DA418A">
      <w:pPr>
        <w:keepNext/>
        <w:spacing w:line="240" w:lineRule="auto"/>
        <w:ind w:right="-2"/>
        <w:rPr>
          <w:rFonts w:asciiTheme="majorBidi" w:hAnsiTheme="majorBidi" w:cstheme="majorBidi"/>
          <w:szCs w:val="22"/>
        </w:rPr>
      </w:pPr>
      <w:r w:rsidRPr="00D21D8C">
        <w:rPr>
          <w:rFonts w:asciiTheme="majorBidi" w:hAnsiTheme="majorBidi" w:cstheme="majorBidi"/>
          <w:color w:val="000000"/>
          <w:szCs w:val="22"/>
          <w:u w:val="single" w:color="000000"/>
        </w:rPr>
        <w:t>Absorptie</w:t>
      </w:r>
    </w:p>
    <w:p w14:paraId="52E93F0B" w14:textId="77777777" w:rsidR="001A274F" w:rsidRPr="00D21D8C" w:rsidRDefault="001A274F">
      <w:pPr>
        <w:keepNext/>
        <w:spacing w:line="240" w:lineRule="auto"/>
        <w:ind w:right="-2"/>
        <w:rPr>
          <w:rFonts w:asciiTheme="majorBidi" w:hAnsiTheme="majorBidi" w:cstheme="majorBidi"/>
          <w:szCs w:val="22"/>
          <w:u w:val="single"/>
        </w:rPr>
      </w:pPr>
    </w:p>
    <w:p w14:paraId="592473C5" w14:textId="73AD6B22" w:rsidR="001A274F" w:rsidRPr="00D21D8C" w:rsidRDefault="00DA418A">
      <w:pPr>
        <w:keepNext/>
        <w:spacing w:line="240" w:lineRule="auto"/>
        <w:ind w:right="-2"/>
        <w:rPr>
          <w:rFonts w:asciiTheme="majorBidi" w:hAnsiTheme="majorBidi" w:cstheme="majorBidi"/>
          <w:szCs w:val="22"/>
        </w:rPr>
      </w:pPr>
      <w:r w:rsidRPr="00D21D8C">
        <w:rPr>
          <w:rFonts w:asciiTheme="majorBidi" w:hAnsiTheme="majorBidi" w:cstheme="majorBidi"/>
          <w:color w:val="000000"/>
          <w:szCs w:val="22"/>
          <w:u w:color="FFFFFF"/>
        </w:rPr>
        <w:t xml:space="preserve">De absolute biologische beschikbaarheid van pirtobrutinib na een </w:t>
      </w:r>
      <w:r w:rsidR="00EC1F3F" w:rsidRPr="00D21D8C">
        <w:rPr>
          <w:rFonts w:asciiTheme="majorBidi" w:hAnsiTheme="majorBidi" w:cstheme="majorBidi"/>
          <w:color w:val="000000"/>
          <w:szCs w:val="22"/>
          <w:u w:color="FFFFFF"/>
        </w:rPr>
        <w:t xml:space="preserve">enkelvoudige </w:t>
      </w:r>
      <w:r w:rsidRPr="00D21D8C">
        <w:rPr>
          <w:rFonts w:asciiTheme="majorBidi" w:hAnsiTheme="majorBidi" w:cstheme="majorBidi"/>
          <w:color w:val="000000"/>
          <w:szCs w:val="22"/>
          <w:u w:color="FFFFFF"/>
        </w:rPr>
        <w:t>oral</w:t>
      </w:r>
      <w:r w:rsidR="00EC1F3F" w:rsidRPr="00D21D8C">
        <w:rPr>
          <w:rFonts w:asciiTheme="majorBidi" w:hAnsiTheme="majorBidi" w:cstheme="majorBidi"/>
          <w:color w:val="000000"/>
          <w:szCs w:val="22"/>
          <w:u w:color="FFFFFF"/>
        </w:rPr>
        <w:t>e dosis van</w:t>
      </w:r>
      <w:r w:rsidRPr="00D21D8C">
        <w:rPr>
          <w:rFonts w:asciiTheme="majorBidi" w:hAnsiTheme="majorBidi" w:cstheme="majorBidi"/>
          <w:color w:val="000000"/>
          <w:szCs w:val="22"/>
          <w:u w:color="FFFFFF"/>
        </w:rPr>
        <w:t xml:space="preserve"> 200 mg is 85,5% bij gezonde proefpersonen. De mediane tijd tot piekplasmaconcentratie (t</w:t>
      </w:r>
      <w:r w:rsidRPr="00D21D8C">
        <w:rPr>
          <w:rFonts w:asciiTheme="majorBidi" w:hAnsiTheme="majorBidi" w:cstheme="majorBidi"/>
          <w:color w:val="000000"/>
          <w:szCs w:val="22"/>
          <w:u w:color="FFFFFF"/>
          <w:vertAlign w:val="subscript"/>
        </w:rPr>
        <w:t>max</w:t>
      </w:r>
      <w:r w:rsidRPr="00D21D8C">
        <w:rPr>
          <w:rFonts w:asciiTheme="majorBidi" w:hAnsiTheme="majorBidi" w:cstheme="majorBidi"/>
          <w:color w:val="000000"/>
          <w:szCs w:val="22"/>
          <w:u w:color="FFFFFF"/>
        </w:rPr>
        <w:t>) is ongeveer 2 uur bij zowel kankerpatiënten als gezonde proefpersonen. Er is geen pH-afhankelijkheid voor absorptie.</w:t>
      </w:r>
    </w:p>
    <w:p w14:paraId="667A202F" w14:textId="77777777" w:rsidR="001A274F" w:rsidRPr="00D21D8C" w:rsidRDefault="001A274F">
      <w:pPr>
        <w:spacing w:line="240" w:lineRule="auto"/>
        <w:ind w:right="-2"/>
        <w:rPr>
          <w:rFonts w:asciiTheme="majorBidi" w:hAnsiTheme="majorBidi" w:cstheme="majorBidi"/>
          <w:szCs w:val="22"/>
        </w:rPr>
      </w:pPr>
    </w:p>
    <w:p w14:paraId="7631A02F" w14:textId="77777777" w:rsidR="001A274F" w:rsidRPr="00D21D8C" w:rsidRDefault="00DA418A">
      <w:pPr>
        <w:keepNext/>
        <w:spacing w:line="240" w:lineRule="auto"/>
        <w:ind w:right="-2"/>
        <w:rPr>
          <w:rFonts w:asciiTheme="majorBidi" w:hAnsiTheme="majorBidi" w:cstheme="majorBidi"/>
          <w:i/>
          <w:szCs w:val="22"/>
          <w:u w:val="single"/>
        </w:rPr>
      </w:pPr>
      <w:r w:rsidRPr="00D21D8C">
        <w:rPr>
          <w:rFonts w:asciiTheme="majorBidi" w:hAnsiTheme="majorBidi" w:cstheme="majorBidi"/>
          <w:i/>
          <w:iCs/>
          <w:color w:val="000000"/>
          <w:szCs w:val="22"/>
          <w:u w:color="FFFFFF"/>
        </w:rPr>
        <w:t>Effect van voedsel</w:t>
      </w:r>
    </w:p>
    <w:p w14:paraId="68DB279A" w14:textId="67AEEF44" w:rsidR="001A274F" w:rsidRPr="00D21D8C" w:rsidRDefault="00DA418A">
      <w:pPr>
        <w:keepNext/>
        <w:spacing w:line="240" w:lineRule="auto"/>
        <w:ind w:right="-2"/>
        <w:rPr>
          <w:rFonts w:asciiTheme="majorBidi" w:hAnsiTheme="majorBidi" w:cstheme="majorBidi"/>
          <w:szCs w:val="22"/>
        </w:rPr>
      </w:pPr>
      <w:r w:rsidRPr="00D21D8C">
        <w:rPr>
          <w:rFonts w:asciiTheme="majorBidi" w:hAnsiTheme="majorBidi" w:cstheme="majorBidi"/>
          <w:color w:val="000000"/>
          <w:szCs w:val="22"/>
          <w:u w:color="FFFFFF"/>
        </w:rPr>
        <w:t>Een vetrijke</w:t>
      </w:r>
      <w:r w:rsidR="00EC1F3F" w:rsidRPr="00D21D8C">
        <w:rPr>
          <w:rFonts w:asciiTheme="majorBidi" w:hAnsiTheme="majorBidi" w:cstheme="majorBidi"/>
          <w:color w:val="000000"/>
          <w:szCs w:val="22"/>
          <w:u w:color="FFFFFF"/>
        </w:rPr>
        <w:t xml:space="preserve"> en</w:t>
      </w:r>
      <w:r w:rsidRPr="00D21D8C">
        <w:rPr>
          <w:rFonts w:asciiTheme="majorBidi" w:hAnsiTheme="majorBidi" w:cstheme="majorBidi"/>
          <w:color w:val="000000"/>
          <w:szCs w:val="22"/>
          <w:u w:color="FFFFFF"/>
        </w:rPr>
        <w:t xml:space="preserve"> calorierijke maaltijd toegediend aan gezonde proefpersonen </w:t>
      </w:r>
      <w:r w:rsidR="00EC1F3F" w:rsidRPr="00D21D8C">
        <w:rPr>
          <w:rFonts w:asciiTheme="majorBidi" w:hAnsiTheme="majorBidi" w:cstheme="majorBidi"/>
          <w:color w:val="000000"/>
          <w:szCs w:val="22"/>
          <w:u w:color="FFFFFF"/>
        </w:rPr>
        <w:t xml:space="preserve">verlaagde </w:t>
      </w:r>
      <w:r w:rsidRPr="00D21D8C">
        <w:rPr>
          <w:rFonts w:asciiTheme="majorBidi" w:hAnsiTheme="majorBidi" w:cstheme="majorBidi"/>
          <w:color w:val="000000"/>
          <w:szCs w:val="22"/>
          <w:u w:color="FFFFFF"/>
        </w:rPr>
        <w:t>de C</w:t>
      </w:r>
      <w:r w:rsidRPr="00D21D8C">
        <w:rPr>
          <w:rFonts w:asciiTheme="majorBidi" w:hAnsiTheme="majorBidi" w:cstheme="majorBidi"/>
          <w:color w:val="000000"/>
          <w:szCs w:val="22"/>
          <w:u w:color="FFFFFF"/>
          <w:vertAlign w:val="subscript"/>
        </w:rPr>
        <w:t>max</w:t>
      </w:r>
      <w:r w:rsidRPr="00D21D8C">
        <w:rPr>
          <w:rFonts w:asciiTheme="majorBidi" w:hAnsiTheme="majorBidi" w:cstheme="majorBidi"/>
          <w:color w:val="000000"/>
          <w:szCs w:val="22"/>
          <w:u w:color="FFFFFF"/>
        </w:rPr>
        <w:t xml:space="preserve"> van pirtobrutinib met 23% en vertraagde de t</w:t>
      </w:r>
      <w:r w:rsidRPr="00D21D8C">
        <w:rPr>
          <w:rFonts w:asciiTheme="majorBidi" w:hAnsiTheme="majorBidi" w:cstheme="majorBidi"/>
          <w:color w:val="000000"/>
          <w:szCs w:val="22"/>
          <w:u w:color="FFFFFF"/>
          <w:vertAlign w:val="subscript"/>
        </w:rPr>
        <w:t>max</w:t>
      </w:r>
      <w:r w:rsidRPr="00D21D8C">
        <w:rPr>
          <w:rFonts w:asciiTheme="majorBidi" w:hAnsiTheme="majorBidi" w:cstheme="majorBidi"/>
          <w:color w:val="000000"/>
          <w:szCs w:val="22"/>
          <w:u w:color="FFFFFF"/>
        </w:rPr>
        <w:t xml:space="preserve"> met 1 uur. Er was geen effect op</w:t>
      </w:r>
      <w:r w:rsidR="00EC1F3F" w:rsidRPr="00D21D8C">
        <w:rPr>
          <w:rFonts w:asciiTheme="majorBidi" w:hAnsiTheme="majorBidi" w:cstheme="majorBidi"/>
          <w:color w:val="000000"/>
          <w:szCs w:val="22"/>
          <w:u w:color="FFFFFF"/>
        </w:rPr>
        <w:t xml:space="preserve"> de AUC van</w:t>
      </w:r>
      <w:r w:rsidRPr="00D21D8C">
        <w:rPr>
          <w:rFonts w:asciiTheme="majorBidi" w:hAnsiTheme="majorBidi" w:cstheme="majorBidi"/>
          <w:color w:val="000000"/>
          <w:szCs w:val="22"/>
          <w:u w:color="FFFFFF"/>
        </w:rPr>
        <w:t xml:space="preserve"> pirtobrutinib. Pirtobrutinib kan met of zonder voedsel worden ingenomen.</w:t>
      </w:r>
    </w:p>
    <w:p w14:paraId="3A8B3AF4" w14:textId="77777777" w:rsidR="001A274F" w:rsidRPr="00D21D8C" w:rsidRDefault="001A274F">
      <w:pPr>
        <w:spacing w:line="240" w:lineRule="auto"/>
        <w:ind w:right="-2"/>
        <w:rPr>
          <w:rFonts w:asciiTheme="majorBidi" w:hAnsiTheme="majorBidi" w:cstheme="majorBidi"/>
          <w:szCs w:val="22"/>
        </w:rPr>
      </w:pPr>
    </w:p>
    <w:p w14:paraId="0A616DB9" w14:textId="77777777" w:rsidR="001A274F" w:rsidRPr="00D21D8C" w:rsidRDefault="00DA418A">
      <w:pPr>
        <w:keepNext/>
        <w:spacing w:line="240" w:lineRule="auto"/>
        <w:ind w:right="-2"/>
        <w:rPr>
          <w:rFonts w:asciiTheme="majorBidi" w:hAnsiTheme="majorBidi" w:cstheme="majorBidi"/>
          <w:szCs w:val="22"/>
        </w:rPr>
      </w:pPr>
      <w:r w:rsidRPr="00D21D8C">
        <w:rPr>
          <w:rFonts w:asciiTheme="majorBidi" w:hAnsiTheme="majorBidi" w:cstheme="majorBidi"/>
          <w:color w:val="000000"/>
          <w:szCs w:val="22"/>
          <w:u w:val="single" w:color="000000"/>
        </w:rPr>
        <w:t>Distributie</w:t>
      </w:r>
    </w:p>
    <w:p w14:paraId="56BB05D5" w14:textId="77777777" w:rsidR="001A274F" w:rsidRPr="00D21D8C" w:rsidRDefault="001A274F">
      <w:pPr>
        <w:keepNext/>
        <w:spacing w:line="240" w:lineRule="auto"/>
        <w:ind w:right="-2"/>
        <w:rPr>
          <w:rFonts w:asciiTheme="majorBidi" w:hAnsiTheme="majorBidi" w:cstheme="majorBidi"/>
          <w:szCs w:val="22"/>
          <w:u w:val="single"/>
        </w:rPr>
      </w:pPr>
    </w:p>
    <w:p w14:paraId="5FDB9BFC" w14:textId="4B296C3F" w:rsidR="001A274F" w:rsidRPr="00D21D8C" w:rsidRDefault="00DA418A">
      <w:pPr>
        <w:keepNext/>
        <w:spacing w:line="240" w:lineRule="auto"/>
        <w:ind w:right="-2"/>
        <w:rPr>
          <w:rFonts w:asciiTheme="majorBidi" w:hAnsiTheme="majorBidi" w:cstheme="majorBidi"/>
          <w:szCs w:val="22"/>
        </w:rPr>
      </w:pPr>
      <w:r w:rsidRPr="00D21D8C">
        <w:rPr>
          <w:rFonts w:asciiTheme="majorBidi" w:hAnsiTheme="majorBidi" w:cstheme="majorBidi"/>
          <w:color w:val="000000"/>
          <w:szCs w:val="22"/>
          <w:u w:color="FFFFFF"/>
        </w:rPr>
        <w:t xml:space="preserve">Het gemiddelde </w:t>
      </w:r>
      <w:r w:rsidR="00EC1F3F" w:rsidRPr="00D21D8C">
        <w:rPr>
          <w:rFonts w:asciiTheme="majorBidi" w:hAnsiTheme="majorBidi" w:cstheme="majorBidi"/>
          <w:color w:val="000000"/>
          <w:szCs w:val="22"/>
          <w:u w:color="FFFFFF"/>
        </w:rPr>
        <w:t xml:space="preserve">schijnbare </w:t>
      </w:r>
      <w:r w:rsidRPr="00D21D8C">
        <w:rPr>
          <w:rFonts w:asciiTheme="majorBidi" w:hAnsiTheme="majorBidi" w:cstheme="majorBidi"/>
          <w:color w:val="000000"/>
          <w:szCs w:val="22"/>
          <w:u w:color="FFFFFF"/>
        </w:rPr>
        <w:t xml:space="preserve">centrale distributievolume van pirtobrutinib is </w:t>
      </w:r>
      <w:r w:rsidR="00887433" w:rsidRPr="00D21D8C">
        <w:rPr>
          <w:rFonts w:asciiTheme="majorBidi" w:hAnsiTheme="majorBidi" w:cstheme="majorBidi"/>
          <w:color w:val="000000"/>
          <w:szCs w:val="22"/>
          <w:u w:color="FFFFFF"/>
        </w:rPr>
        <w:t>34,2</w:t>
      </w:r>
      <w:r w:rsidRPr="00D21D8C">
        <w:rPr>
          <w:rFonts w:asciiTheme="majorBidi" w:hAnsiTheme="majorBidi" w:cstheme="majorBidi"/>
          <w:color w:val="000000"/>
          <w:szCs w:val="22"/>
          <w:u w:color="FFFFFF"/>
        </w:rPr>
        <w:t> l</w:t>
      </w:r>
      <w:r w:rsidR="00DE38A3" w:rsidRPr="00D21D8C">
        <w:rPr>
          <w:rFonts w:asciiTheme="majorBidi" w:hAnsiTheme="majorBidi" w:cstheme="majorBidi"/>
          <w:color w:val="000000"/>
          <w:szCs w:val="22"/>
          <w:u w:color="FFFFFF"/>
        </w:rPr>
        <w:t>iter</w:t>
      </w:r>
      <w:r w:rsidRPr="00D21D8C">
        <w:rPr>
          <w:rFonts w:asciiTheme="majorBidi" w:hAnsiTheme="majorBidi" w:cstheme="majorBidi"/>
          <w:color w:val="000000"/>
          <w:szCs w:val="22"/>
          <w:u w:color="FFFFFF"/>
        </w:rPr>
        <w:t xml:space="preserve"> bij kankerpatiënten. De plasma-eiwitbinding is 96% en was onafhankelijk van de concentratie tussen 0,5 en 50 µM. In plasma van gezonde proefpersonen en proefpersonen met </w:t>
      </w:r>
      <w:r w:rsidR="00A71E25" w:rsidRPr="00D21D8C">
        <w:rPr>
          <w:rFonts w:asciiTheme="majorBidi" w:hAnsiTheme="majorBidi" w:cstheme="majorBidi"/>
          <w:color w:val="000000"/>
          <w:szCs w:val="22"/>
          <w:u w:color="FFFFFF"/>
        </w:rPr>
        <w:t xml:space="preserve">een </w:t>
      </w:r>
      <w:r w:rsidRPr="00D21D8C">
        <w:rPr>
          <w:rFonts w:asciiTheme="majorBidi" w:hAnsiTheme="majorBidi" w:cstheme="majorBidi"/>
          <w:color w:val="000000"/>
          <w:szCs w:val="22"/>
          <w:u w:color="FFFFFF"/>
        </w:rPr>
        <w:t xml:space="preserve">ernstige </w:t>
      </w:r>
      <w:r w:rsidR="00EC1F3F" w:rsidRPr="00D21D8C">
        <w:rPr>
          <w:rFonts w:asciiTheme="majorBidi" w:hAnsiTheme="majorBidi" w:cstheme="majorBidi"/>
          <w:color w:val="000000"/>
          <w:szCs w:val="22"/>
          <w:u w:color="FFFFFF"/>
        </w:rPr>
        <w:t xml:space="preserve">nierfunctiestoornis </w:t>
      </w:r>
      <w:r w:rsidRPr="00D21D8C">
        <w:rPr>
          <w:rFonts w:asciiTheme="majorBidi" w:hAnsiTheme="majorBidi" w:cstheme="majorBidi"/>
          <w:color w:val="000000"/>
          <w:szCs w:val="22"/>
          <w:u w:color="FFFFFF"/>
        </w:rPr>
        <w:t>was de eiwitbinding 96%. De gemiddelde bloed-plasmaratio is 0,79.</w:t>
      </w:r>
    </w:p>
    <w:p w14:paraId="06FC0A10" w14:textId="77777777" w:rsidR="001A274F" w:rsidRPr="00D21D8C" w:rsidRDefault="001A274F">
      <w:pPr>
        <w:spacing w:line="240" w:lineRule="auto"/>
        <w:ind w:right="-2"/>
        <w:rPr>
          <w:rFonts w:asciiTheme="majorBidi" w:hAnsiTheme="majorBidi" w:cstheme="majorBidi"/>
          <w:szCs w:val="22"/>
        </w:rPr>
      </w:pPr>
    </w:p>
    <w:p w14:paraId="0E1AB06D" w14:textId="77777777" w:rsidR="001A274F" w:rsidRPr="00D21D8C" w:rsidRDefault="00DA418A">
      <w:pPr>
        <w:keepNext/>
        <w:spacing w:line="240" w:lineRule="auto"/>
        <w:ind w:right="-2"/>
        <w:rPr>
          <w:rFonts w:asciiTheme="majorBidi" w:hAnsiTheme="majorBidi" w:cstheme="majorBidi"/>
          <w:szCs w:val="22"/>
        </w:rPr>
      </w:pPr>
      <w:r w:rsidRPr="00D21D8C">
        <w:rPr>
          <w:rFonts w:asciiTheme="majorBidi" w:hAnsiTheme="majorBidi" w:cstheme="majorBidi"/>
          <w:color w:val="000000"/>
          <w:szCs w:val="22"/>
          <w:u w:val="single" w:color="000000"/>
        </w:rPr>
        <w:t>Biotransformatie</w:t>
      </w:r>
    </w:p>
    <w:p w14:paraId="30EF0A4F" w14:textId="77777777" w:rsidR="001A274F" w:rsidRPr="00D21D8C" w:rsidRDefault="001A274F">
      <w:pPr>
        <w:keepNext/>
        <w:spacing w:line="240" w:lineRule="auto"/>
        <w:ind w:right="-2"/>
        <w:rPr>
          <w:rFonts w:asciiTheme="majorBidi" w:hAnsiTheme="majorBidi" w:cstheme="majorBidi"/>
          <w:szCs w:val="22"/>
          <w:u w:val="single"/>
        </w:rPr>
      </w:pPr>
    </w:p>
    <w:p w14:paraId="5D6B41D4" w14:textId="09B1E947" w:rsidR="001A274F" w:rsidRPr="00D21D8C" w:rsidRDefault="00DA418A">
      <w:pPr>
        <w:keepNext/>
        <w:spacing w:line="240" w:lineRule="auto"/>
        <w:ind w:right="-2"/>
        <w:rPr>
          <w:rFonts w:asciiTheme="majorBidi" w:hAnsiTheme="majorBidi" w:cstheme="majorBidi"/>
          <w:szCs w:val="22"/>
        </w:rPr>
      </w:pPr>
      <w:r w:rsidRPr="00D21D8C">
        <w:rPr>
          <w:rFonts w:asciiTheme="majorBidi" w:hAnsiTheme="majorBidi" w:cstheme="majorBidi"/>
          <w:color w:val="000000"/>
          <w:szCs w:val="22"/>
          <w:u w:color="FFFFFF"/>
        </w:rPr>
        <w:t xml:space="preserve">Hepatisch metabolisme is de belangrijkste klaringsroute voor pirtobrutinib. Pirtobrutinib wordt gemetaboliseerd tot verschillende inactieve metabolieten door CYP3A4, UGT1A8 en UGT1A9. Er is geen klinisch </w:t>
      </w:r>
      <w:r w:rsidR="003C7A27" w:rsidRPr="00D21D8C">
        <w:rPr>
          <w:rFonts w:asciiTheme="majorBidi" w:hAnsiTheme="majorBidi" w:cstheme="majorBidi"/>
          <w:color w:val="000000"/>
          <w:szCs w:val="22"/>
          <w:u w:color="FFFFFF"/>
        </w:rPr>
        <w:t xml:space="preserve">relevante </w:t>
      </w:r>
      <w:r w:rsidR="00A71E25" w:rsidRPr="00D21D8C">
        <w:rPr>
          <w:rFonts w:asciiTheme="majorBidi" w:hAnsiTheme="majorBidi" w:cstheme="majorBidi"/>
          <w:color w:val="000000"/>
          <w:szCs w:val="22"/>
          <w:u w:color="FFFFFF"/>
        </w:rPr>
        <w:t>invloed</w:t>
      </w:r>
      <w:r w:rsidRPr="00D21D8C">
        <w:rPr>
          <w:rFonts w:asciiTheme="majorBidi" w:hAnsiTheme="majorBidi" w:cstheme="majorBidi"/>
          <w:color w:val="000000"/>
          <w:szCs w:val="22"/>
          <w:u w:color="FFFFFF"/>
        </w:rPr>
        <w:t xml:space="preserve"> van CYP3A-modulatie op </w:t>
      </w:r>
      <w:r w:rsidR="00EC1F3F" w:rsidRPr="00D21D8C">
        <w:rPr>
          <w:rFonts w:asciiTheme="majorBidi" w:hAnsiTheme="majorBidi" w:cstheme="majorBidi"/>
          <w:color w:val="000000"/>
          <w:szCs w:val="22"/>
          <w:u w:color="FFFFFF"/>
        </w:rPr>
        <w:t xml:space="preserve">de </w:t>
      </w:r>
      <w:r w:rsidRPr="00D21D8C">
        <w:rPr>
          <w:rFonts w:asciiTheme="majorBidi" w:hAnsiTheme="majorBidi" w:cstheme="majorBidi"/>
          <w:color w:val="000000"/>
          <w:szCs w:val="22"/>
          <w:u w:color="FFFFFF"/>
        </w:rPr>
        <w:t xml:space="preserve">blootstelling aan pirtobrutinib. </w:t>
      </w:r>
    </w:p>
    <w:p w14:paraId="76C946A4" w14:textId="77777777" w:rsidR="001A274F" w:rsidRPr="00D21D8C" w:rsidRDefault="001A274F">
      <w:pPr>
        <w:spacing w:line="240" w:lineRule="auto"/>
        <w:ind w:right="-2"/>
        <w:rPr>
          <w:rFonts w:asciiTheme="majorBidi" w:hAnsiTheme="majorBidi" w:cstheme="majorBidi"/>
          <w:szCs w:val="22"/>
        </w:rPr>
      </w:pPr>
    </w:p>
    <w:p w14:paraId="22A7FF9C" w14:textId="18876C58" w:rsidR="001A274F" w:rsidRPr="00D21D8C" w:rsidRDefault="00DA418A">
      <w:pPr>
        <w:spacing w:line="240" w:lineRule="auto"/>
        <w:ind w:right="-2"/>
        <w:rPr>
          <w:rFonts w:asciiTheme="majorBidi" w:hAnsiTheme="majorBidi" w:cstheme="majorBidi"/>
          <w:color w:val="000000"/>
          <w:szCs w:val="22"/>
          <w:u w:color="FFFFFF"/>
        </w:rPr>
      </w:pPr>
      <w:r w:rsidRPr="00D21D8C">
        <w:rPr>
          <w:rFonts w:asciiTheme="majorBidi" w:hAnsiTheme="majorBidi" w:cstheme="majorBidi"/>
          <w:color w:val="000000"/>
          <w:szCs w:val="22"/>
          <w:u w:color="FFFFFF"/>
        </w:rPr>
        <w:t xml:space="preserve">Pirtobrutinib remt CYP2C8, CYP2C9 en CYP3A4 </w:t>
      </w:r>
      <w:r w:rsidRPr="00D21D8C">
        <w:rPr>
          <w:rFonts w:asciiTheme="majorBidi" w:hAnsiTheme="majorBidi" w:cstheme="majorBidi"/>
          <w:i/>
          <w:iCs/>
          <w:color w:val="000000"/>
          <w:szCs w:val="22"/>
          <w:u w:color="FFFFFF"/>
        </w:rPr>
        <w:t>in vitro</w:t>
      </w:r>
      <w:r w:rsidRPr="00D21D8C">
        <w:rPr>
          <w:rFonts w:asciiTheme="majorBidi" w:hAnsiTheme="majorBidi" w:cstheme="majorBidi"/>
          <w:color w:val="000000"/>
          <w:szCs w:val="22"/>
          <w:u w:color="FFFFFF"/>
        </w:rPr>
        <w:t xml:space="preserve"> en </w:t>
      </w:r>
      <w:r w:rsidR="00EC1F3F" w:rsidRPr="00D21D8C">
        <w:rPr>
          <w:rFonts w:asciiTheme="majorBidi" w:hAnsiTheme="majorBidi" w:cstheme="majorBidi"/>
          <w:color w:val="000000"/>
          <w:szCs w:val="22"/>
          <w:u w:color="FFFFFF"/>
        </w:rPr>
        <w:t>remt minimaal</w:t>
      </w:r>
      <w:r w:rsidRPr="00D21D8C">
        <w:rPr>
          <w:rFonts w:asciiTheme="majorBidi" w:hAnsiTheme="majorBidi" w:cstheme="majorBidi"/>
          <w:color w:val="000000"/>
          <w:szCs w:val="22"/>
          <w:u w:color="FFFFFF"/>
        </w:rPr>
        <w:t xml:space="preserve"> CYP1A2, CYP2B6, CYP2C19 of CYP2D6 bij 60 µM. </w:t>
      </w:r>
      <w:r w:rsidRPr="00D21D8C">
        <w:rPr>
          <w:rFonts w:asciiTheme="majorBidi" w:hAnsiTheme="majorBidi" w:cstheme="majorBidi"/>
          <w:i/>
          <w:iCs/>
          <w:color w:val="000000"/>
          <w:szCs w:val="22"/>
          <w:u w:color="FFFFFF"/>
        </w:rPr>
        <w:t>In vitro</w:t>
      </w:r>
      <w:r w:rsidRPr="00D21D8C">
        <w:rPr>
          <w:rFonts w:asciiTheme="majorBidi" w:hAnsiTheme="majorBidi" w:cstheme="majorBidi"/>
          <w:color w:val="000000"/>
          <w:szCs w:val="22"/>
          <w:u w:color="FFFFFF"/>
        </w:rPr>
        <w:t xml:space="preserve"> induceert </w:t>
      </w:r>
      <w:r w:rsidR="003628E4" w:rsidRPr="00D21D8C">
        <w:rPr>
          <w:rFonts w:asciiTheme="majorBidi" w:hAnsiTheme="majorBidi" w:cstheme="majorBidi"/>
          <w:color w:val="000000"/>
          <w:szCs w:val="22"/>
          <w:u w:color="FFFFFF"/>
        </w:rPr>
        <w:t xml:space="preserve">pirtobrutinib </w:t>
      </w:r>
      <w:r w:rsidRPr="00D21D8C">
        <w:rPr>
          <w:rFonts w:asciiTheme="majorBidi" w:hAnsiTheme="majorBidi" w:cstheme="majorBidi"/>
          <w:color w:val="000000"/>
          <w:szCs w:val="22"/>
          <w:u w:color="FFFFFF"/>
        </w:rPr>
        <w:t xml:space="preserve">CYP3A4, CYP3A5, CYP2C19, en CYP2B6. </w:t>
      </w:r>
    </w:p>
    <w:p w14:paraId="633BBBBC" w14:textId="77777777" w:rsidR="00904561" w:rsidRPr="00D21D8C" w:rsidRDefault="00904561">
      <w:pPr>
        <w:spacing w:line="240" w:lineRule="auto"/>
        <w:ind w:right="-2"/>
        <w:rPr>
          <w:rFonts w:asciiTheme="majorBidi" w:hAnsiTheme="majorBidi" w:cstheme="majorBidi"/>
          <w:szCs w:val="22"/>
        </w:rPr>
      </w:pPr>
    </w:p>
    <w:p w14:paraId="2205CB3B" w14:textId="660F4650" w:rsidR="001A274F" w:rsidRPr="00D21D8C" w:rsidRDefault="00904561">
      <w:pPr>
        <w:spacing w:line="240" w:lineRule="auto"/>
        <w:ind w:right="-2"/>
        <w:rPr>
          <w:rFonts w:asciiTheme="majorBidi" w:hAnsiTheme="majorBidi" w:cstheme="majorBidi"/>
          <w:szCs w:val="22"/>
        </w:rPr>
      </w:pPr>
      <w:r w:rsidRPr="00D21D8C">
        <w:rPr>
          <w:rFonts w:asciiTheme="majorBidi" w:hAnsiTheme="majorBidi" w:cstheme="majorBidi"/>
          <w:szCs w:val="22"/>
        </w:rPr>
        <w:t xml:space="preserve">Pirtobrutinib remt UGT1A1 </w:t>
      </w:r>
      <w:r w:rsidRPr="00D21D8C">
        <w:rPr>
          <w:rFonts w:asciiTheme="majorBidi" w:hAnsiTheme="majorBidi" w:cstheme="majorBidi"/>
          <w:i/>
          <w:iCs/>
          <w:szCs w:val="22"/>
        </w:rPr>
        <w:t>in vitro</w:t>
      </w:r>
      <w:r w:rsidRPr="00D21D8C">
        <w:rPr>
          <w:rFonts w:asciiTheme="majorBidi" w:hAnsiTheme="majorBidi" w:cstheme="majorBidi"/>
          <w:szCs w:val="22"/>
        </w:rPr>
        <w:t xml:space="preserve"> minimaal, met een IC50</w:t>
      </w:r>
      <w:r w:rsidR="009B1C69" w:rsidRPr="00D21D8C">
        <w:rPr>
          <w:rFonts w:asciiTheme="majorBidi" w:hAnsiTheme="majorBidi" w:cstheme="majorBidi"/>
          <w:szCs w:val="22"/>
        </w:rPr>
        <w:t> </w:t>
      </w:r>
      <w:r w:rsidRPr="00D21D8C">
        <w:rPr>
          <w:rFonts w:asciiTheme="majorBidi" w:hAnsiTheme="majorBidi" w:cstheme="majorBidi"/>
          <w:szCs w:val="22"/>
        </w:rPr>
        <w:t>=</w:t>
      </w:r>
      <w:r w:rsidR="009B1C69" w:rsidRPr="00D21D8C">
        <w:rPr>
          <w:rFonts w:asciiTheme="majorBidi" w:hAnsiTheme="majorBidi" w:cstheme="majorBidi"/>
          <w:szCs w:val="22"/>
        </w:rPr>
        <w:t> </w:t>
      </w:r>
      <w:r w:rsidRPr="00D21D8C">
        <w:rPr>
          <w:rFonts w:asciiTheme="majorBidi" w:hAnsiTheme="majorBidi" w:cstheme="majorBidi"/>
          <w:szCs w:val="22"/>
        </w:rPr>
        <w:t>18 µM.</w:t>
      </w:r>
    </w:p>
    <w:p w14:paraId="2E14D18C" w14:textId="77777777" w:rsidR="00904561" w:rsidRPr="00D21D8C" w:rsidRDefault="00904561">
      <w:pPr>
        <w:keepNext/>
        <w:spacing w:line="240" w:lineRule="auto"/>
        <w:rPr>
          <w:rFonts w:asciiTheme="majorBidi" w:hAnsiTheme="majorBidi" w:cstheme="majorBidi"/>
          <w:i/>
          <w:iCs/>
          <w:color w:val="000000"/>
          <w:szCs w:val="22"/>
          <w:u w:color="FFFFFF"/>
        </w:rPr>
      </w:pPr>
    </w:p>
    <w:p w14:paraId="53525BD1" w14:textId="26C3515B" w:rsidR="001A274F" w:rsidRPr="00D21D8C" w:rsidRDefault="00DA418A">
      <w:pPr>
        <w:keepNext/>
        <w:spacing w:line="240" w:lineRule="auto"/>
        <w:rPr>
          <w:rFonts w:asciiTheme="majorBidi" w:hAnsiTheme="majorBidi" w:cstheme="majorBidi"/>
          <w:i/>
          <w:szCs w:val="22"/>
        </w:rPr>
      </w:pPr>
      <w:r w:rsidRPr="00D21D8C">
        <w:rPr>
          <w:rFonts w:asciiTheme="majorBidi" w:hAnsiTheme="majorBidi" w:cstheme="majorBidi"/>
          <w:i/>
          <w:iCs/>
          <w:color w:val="000000"/>
          <w:szCs w:val="22"/>
          <w:u w:color="FFFFFF"/>
        </w:rPr>
        <w:t xml:space="preserve">Gelijktijdige toediening met transportersubstraten/-remmers </w:t>
      </w:r>
    </w:p>
    <w:p w14:paraId="19994269" w14:textId="1E543C72" w:rsidR="001A274F" w:rsidRPr="00D21D8C" w:rsidRDefault="00DA418A">
      <w:pPr>
        <w:keepNext/>
        <w:spacing w:line="240" w:lineRule="auto"/>
        <w:ind w:right="-2"/>
        <w:rPr>
          <w:rStyle w:val="Verwijzingopmerking"/>
          <w:rFonts w:asciiTheme="majorBidi" w:hAnsiTheme="majorBidi" w:cstheme="majorBidi"/>
          <w:sz w:val="22"/>
          <w:szCs w:val="22"/>
        </w:rPr>
      </w:pPr>
      <w:r w:rsidRPr="00D21D8C">
        <w:rPr>
          <w:rFonts w:asciiTheme="majorBidi" w:hAnsiTheme="majorBidi" w:cstheme="majorBidi"/>
          <w:color w:val="000000"/>
          <w:szCs w:val="22"/>
          <w:u w:color="FFFFFF"/>
        </w:rPr>
        <w:t>In</w:t>
      </w:r>
      <w:r w:rsidR="003628E4" w:rsidRPr="00D21D8C">
        <w:rPr>
          <w:rFonts w:asciiTheme="majorBidi" w:hAnsiTheme="majorBidi" w:cstheme="majorBidi"/>
          <w:color w:val="000000"/>
          <w:szCs w:val="22"/>
          <w:u w:color="FFFFFF"/>
        </w:rPr>
        <w:t>-</w:t>
      </w:r>
      <w:r w:rsidRPr="00D21D8C">
        <w:rPr>
          <w:rFonts w:asciiTheme="majorBidi" w:hAnsiTheme="majorBidi" w:cstheme="majorBidi"/>
          <w:color w:val="000000"/>
          <w:szCs w:val="22"/>
          <w:u w:color="FFFFFF"/>
        </w:rPr>
        <w:t>vitro-</w:t>
      </w:r>
      <w:r w:rsidR="00EC1F3F" w:rsidRPr="00D21D8C">
        <w:rPr>
          <w:rFonts w:asciiTheme="majorBidi" w:hAnsiTheme="majorBidi" w:cstheme="majorBidi"/>
          <w:color w:val="000000"/>
          <w:szCs w:val="22"/>
          <w:u w:color="FFFFFF"/>
        </w:rPr>
        <w:t xml:space="preserve">onderzoeken </w:t>
      </w:r>
      <w:r w:rsidRPr="00D21D8C">
        <w:rPr>
          <w:rFonts w:asciiTheme="majorBidi" w:hAnsiTheme="majorBidi" w:cstheme="majorBidi"/>
          <w:color w:val="000000"/>
          <w:szCs w:val="22"/>
          <w:u w:color="FFFFFF"/>
        </w:rPr>
        <w:t xml:space="preserve">toonden aan dat pirtobrutinib een substraat </w:t>
      </w:r>
      <w:r w:rsidR="00EC1F3F" w:rsidRPr="00D21D8C">
        <w:rPr>
          <w:rFonts w:asciiTheme="majorBidi" w:hAnsiTheme="majorBidi" w:cstheme="majorBidi"/>
          <w:color w:val="000000"/>
          <w:szCs w:val="22"/>
          <w:u w:color="FFFFFF"/>
        </w:rPr>
        <w:t xml:space="preserve">is </w:t>
      </w:r>
      <w:r w:rsidRPr="00D21D8C">
        <w:rPr>
          <w:rFonts w:asciiTheme="majorBidi" w:hAnsiTheme="majorBidi" w:cstheme="majorBidi"/>
          <w:color w:val="000000"/>
          <w:szCs w:val="22"/>
          <w:u w:color="FFFFFF"/>
        </w:rPr>
        <w:t>van P-gp en BCRP.</w:t>
      </w:r>
    </w:p>
    <w:p w14:paraId="279575AF" w14:textId="77777777" w:rsidR="001A274F" w:rsidRPr="00D21D8C" w:rsidRDefault="001A274F">
      <w:pPr>
        <w:spacing w:line="240" w:lineRule="auto"/>
        <w:rPr>
          <w:rFonts w:asciiTheme="majorBidi" w:hAnsiTheme="majorBidi" w:cstheme="majorBidi"/>
          <w:szCs w:val="22"/>
        </w:rPr>
      </w:pPr>
    </w:p>
    <w:p w14:paraId="2BD0959D" w14:textId="25987B12" w:rsidR="001A274F" w:rsidRPr="00D21D8C" w:rsidRDefault="00DA418A">
      <w:pPr>
        <w:spacing w:line="240" w:lineRule="auto"/>
        <w:rPr>
          <w:rFonts w:asciiTheme="majorBidi" w:hAnsiTheme="majorBidi" w:cstheme="majorBidi"/>
          <w:szCs w:val="22"/>
        </w:rPr>
      </w:pPr>
      <w:r w:rsidRPr="00D21D8C">
        <w:rPr>
          <w:rFonts w:asciiTheme="majorBidi" w:hAnsiTheme="majorBidi" w:cstheme="majorBidi"/>
          <w:color w:val="000000"/>
          <w:szCs w:val="22"/>
          <w:u w:color="FFFFFF"/>
        </w:rPr>
        <w:t>Pirtobrutinib is een remmer van P</w:t>
      </w:r>
      <w:r w:rsidRPr="00D21D8C">
        <w:rPr>
          <w:rFonts w:asciiTheme="majorBidi" w:hAnsiTheme="majorBidi" w:cstheme="majorBidi"/>
          <w:color w:val="000000"/>
          <w:szCs w:val="22"/>
          <w:u w:color="FFFFFF"/>
        </w:rPr>
        <w:noBreakHyphen/>
        <w:t>gp en BCRP</w:t>
      </w:r>
      <w:r w:rsidR="003628E4" w:rsidRPr="00D21D8C">
        <w:rPr>
          <w:rFonts w:asciiTheme="majorBidi" w:hAnsiTheme="majorBidi" w:cstheme="majorBidi"/>
          <w:color w:val="000000"/>
          <w:szCs w:val="22"/>
          <w:u w:color="FFFFFF"/>
        </w:rPr>
        <w:t xml:space="preserve"> </w:t>
      </w:r>
      <w:r w:rsidR="003628E4" w:rsidRPr="00D21D8C">
        <w:rPr>
          <w:rFonts w:asciiTheme="majorBidi" w:hAnsiTheme="majorBidi" w:cstheme="majorBidi"/>
          <w:i/>
          <w:iCs/>
          <w:color w:val="000000"/>
          <w:szCs w:val="22"/>
          <w:u w:color="FFFFFF"/>
        </w:rPr>
        <w:t>in vitro</w:t>
      </w:r>
      <w:r w:rsidRPr="00D21D8C">
        <w:rPr>
          <w:rFonts w:asciiTheme="majorBidi" w:hAnsiTheme="majorBidi" w:cstheme="majorBidi"/>
          <w:color w:val="000000"/>
          <w:szCs w:val="22"/>
          <w:u w:color="FFFFFF"/>
        </w:rPr>
        <w:t xml:space="preserve">. Pirtobrutinib </w:t>
      </w:r>
      <w:r w:rsidR="00EC1F3F" w:rsidRPr="00D21D8C">
        <w:rPr>
          <w:rFonts w:asciiTheme="majorBidi" w:hAnsiTheme="majorBidi" w:cstheme="majorBidi"/>
          <w:color w:val="000000"/>
          <w:szCs w:val="22"/>
          <w:u w:color="FFFFFF"/>
        </w:rPr>
        <w:t xml:space="preserve">beïnvloedde </w:t>
      </w:r>
      <w:r w:rsidRPr="00D21D8C">
        <w:rPr>
          <w:rFonts w:asciiTheme="majorBidi" w:hAnsiTheme="majorBidi" w:cstheme="majorBidi"/>
          <w:color w:val="000000"/>
          <w:szCs w:val="22"/>
          <w:u w:color="FFFFFF"/>
        </w:rPr>
        <w:t xml:space="preserve">de farmacokinetiek van digoxine, een P-gp-substraat, en rosuvastatine, een BCRP-substraat, in klinische onderzoeken (zie rubriek 4.5). </w:t>
      </w:r>
    </w:p>
    <w:p w14:paraId="7C08761B" w14:textId="77777777" w:rsidR="001A274F" w:rsidRPr="00D21D8C" w:rsidRDefault="001A274F">
      <w:pPr>
        <w:spacing w:line="240" w:lineRule="auto"/>
        <w:ind w:right="-2"/>
        <w:rPr>
          <w:rFonts w:asciiTheme="majorBidi" w:hAnsiTheme="majorBidi" w:cstheme="majorBidi"/>
          <w:szCs w:val="22"/>
        </w:rPr>
      </w:pPr>
    </w:p>
    <w:p w14:paraId="6BA7F459" w14:textId="77777777" w:rsidR="001A274F" w:rsidRPr="00D21D8C" w:rsidRDefault="00DA418A">
      <w:pPr>
        <w:keepNext/>
        <w:spacing w:line="240" w:lineRule="auto"/>
        <w:ind w:right="-2"/>
        <w:rPr>
          <w:rFonts w:asciiTheme="majorBidi" w:hAnsiTheme="majorBidi" w:cstheme="majorBidi"/>
          <w:szCs w:val="22"/>
        </w:rPr>
      </w:pPr>
      <w:r w:rsidRPr="00D21D8C">
        <w:rPr>
          <w:rFonts w:asciiTheme="majorBidi" w:hAnsiTheme="majorBidi" w:cstheme="majorBidi"/>
          <w:color w:val="000000"/>
          <w:szCs w:val="22"/>
          <w:u w:val="single" w:color="000000"/>
        </w:rPr>
        <w:t>Eliminatie</w:t>
      </w:r>
    </w:p>
    <w:p w14:paraId="2555F4FE" w14:textId="77777777" w:rsidR="001A274F" w:rsidRPr="00D21D8C" w:rsidRDefault="001A274F">
      <w:pPr>
        <w:keepNext/>
        <w:spacing w:line="240" w:lineRule="auto"/>
        <w:ind w:right="-2"/>
        <w:rPr>
          <w:rFonts w:asciiTheme="majorBidi" w:hAnsiTheme="majorBidi" w:cstheme="majorBidi"/>
          <w:szCs w:val="22"/>
        </w:rPr>
      </w:pPr>
    </w:p>
    <w:p w14:paraId="6DA47515" w14:textId="0F2A91E5" w:rsidR="001A274F" w:rsidRPr="00D21D8C" w:rsidRDefault="00DA418A">
      <w:pPr>
        <w:keepNext/>
        <w:spacing w:line="240" w:lineRule="auto"/>
        <w:ind w:right="-2"/>
        <w:rPr>
          <w:rFonts w:asciiTheme="majorBidi" w:hAnsiTheme="majorBidi" w:cstheme="majorBidi"/>
          <w:szCs w:val="22"/>
        </w:rPr>
      </w:pPr>
      <w:r w:rsidRPr="00D21D8C">
        <w:rPr>
          <w:rFonts w:asciiTheme="majorBidi" w:hAnsiTheme="majorBidi" w:cstheme="majorBidi"/>
          <w:color w:val="000000"/>
          <w:szCs w:val="22"/>
          <w:u w:color="FFFFFF"/>
        </w:rPr>
        <w:t>De gemiddelde schijnbare klaring van pirtobrutinib is 2,0</w:t>
      </w:r>
      <w:r w:rsidR="002700BC" w:rsidRPr="00D21D8C">
        <w:rPr>
          <w:rFonts w:asciiTheme="majorBidi" w:hAnsiTheme="majorBidi" w:cstheme="majorBidi"/>
          <w:color w:val="000000"/>
          <w:szCs w:val="22"/>
          <w:u w:color="FFFFFF"/>
        </w:rPr>
        <w:t>5</w:t>
      </w:r>
      <w:r w:rsidRPr="00D21D8C">
        <w:rPr>
          <w:rFonts w:asciiTheme="majorBidi" w:hAnsiTheme="majorBidi" w:cstheme="majorBidi"/>
          <w:color w:val="000000"/>
          <w:szCs w:val="22"/>
          <w:u w:color="FFFFFF"/>
        </w:rPr>
        <w:t> l</w:t>
      </w:r>
      <w:r w:rsidR="00DE38A3" w:rsidRPr="00D21D8C">
        <w:rPr>
          <w:rFonts w:asciiTheme="majorBidi" w:hAnsiTheme="majorBidi" w:cstheme="majorBidi"/>
          <w:color w:val="000000"/>
          <w:szCs w:val="22"/>
          <w:u w:color="FFFFFF"/>
        </w:rPr>
        <w:t>iter</w:t>
      </w:r>
      <w:r w:rsidRPr="00D21D8C">
        <w:rPr>
          <w:rFonts w:asciiTheme="majorBidi" w:hAnsiTheme="majorBidi" w:cstheme="majorBidi"/>
          <w:color w:val="000000"/>
          <w:szCs w:val="22"/>
          <w:u w:color="FFFFFF"/>
        </w:rPr>
        <w:t>/</w:t>
      </w:r>
      <w:r w:rsidR="00B9729A" w:rsidRPr="00D21D8C">
        <w:rPr>
          <w:rFonts w:asciiTheme="majorBidi" w:hAnsiTheme="majorBidi" w:cstheme="majorBidi"/>
          <w:color w:val="000000"/>
          <w:szCs w:val="22"/>
          <w:u w:color="FFFFFF"/>
        </w:rPr>
        <w:t>uur</w:t>
      </w:r>
      <w:r w:rsidRPr="00D21D8C">
        <w:rPr>
          <w:rFonts w:asciiTheme="majorBidi" w:hAnsiTheme="majorBidi" w:cstheme="majorBidi"/>
          <w:color w:val="000000"/>
          <w:szCs w:val="22"/>
          <w:u w:color="FFFFFF"/>
        </w:rPr>
        <w:t xml:space="preserve"> met een effectieve halfwaardetijd van ongeveer 19</w:t>
      </w:r>
      <w:r w:rsidR="00D06226" w:rsidRPr="00D21D8C">
        <w:rPr>
          <w:rFonts w:asciiTheme="majorBidi" w:hAnsiTheme="majorBidi" w:cstheme="majorBidi"/>
          <w:color w:val="000000"/>
          <w:szCs w:val="22"/>
          <w:u w:color="FFFFFF"/>
        </w:rPr>
        <w:t>,9</w:t>
      </w:r>
      <w:r w:rsidRPr="00D21D8C">
        <w:rPr>
          <w:rFonts w:asciiTheme="majorBidi" w:hAnsiTheme="majorBidi" w:cstheme="majorBidi"/>
          <w:color w:val="000000"/>
          <w:szCs w:val="22"/>
          <w:u w:color="FFFFFF"/>
        </w:rPr>
        <w:t xml:space="preserve"> uur. Na een eenmalige radioactief gelabelde dosis </w:t>
      </w:r>
      <w:r w:rsidR="00B9729A" w:rsidRPr="00D21D8C">
        <w:rPr>
          <w:rFonts w:asciiTheme="majorBidi" w:hAnsiTheme="majorBidi" w:cstheme="majorBidi"/>
          <w:color w:val="000000"/>
          <w:szCs w:val="22"/>
          <w:u w:color="FFFFFF"/>
        </w:rPr>
        <w:t xml:space="preserve">van 200 mg </w:t>
      </w:r>
      <w:r w:rsidRPr="00D21D8C">
        <w:rPr>
          <w:rFonts w:asciiTheme="majorBidi" w:hAnsiTheme="majorBidi" w:cstheme="majorBidi"/>
          <w:color w:val="000000"/>
          <w:szCs w:val="22"/>
          <w:u w:color="FFFFFF"/>
        </w:rPr>
        <w:t xml:space="preserve">pirtobrutinib </w:t>
      </w:r>
      <w:r w:rsidR="00B9729A" w:rsidRPr="00D21D8C">
        <w:rPr>
          <w:rFonts w:asciiTheme="majorBidi" w:hAnsiTheme="majorBidi" w:cstheme="majorBidi"/>
          <w:color w:val="000000"/>
          <w:szCs w:val="22"/>
          <w:u w:color="FFFFFF"/>
        </w:rPr>
        <w:t xml:space="preserve">aan </w:t>
      </w:r>
      <w:r w:rsidRPr="00D21D8C">
        <w:rPr>
          <w:rFonts w:asciiTheme="majorBidi" w:hAnsiTheme="majorBidi" w:cstheme="majorBidi"/>
          <w:color w:val="000000"/>
          <w:szCs w:val="22"/>
          <w:u w:color="FFFFFF"/>
        </w:rPr>
        <w:t>gezonde proefpersonen werd 37% van de dosis teruggevonden in de feces (18% onveranderd) en 57% in de urine (10% onveranderd).</w:t>
      </w:r>
    </w:p>
    <w:p w14:paraId="592CAB67" w14:textId="77777777" w:rsidR="001A274F" w:rsidRPr="00D21D8C" w:rsidRDefault="001A274F">
      <w:pPr>
        <w:spacing w:line="240" w:lineRule="auto"/>
        <w:ind w:right="-2"/>
        <w:rPr>
          <w:rFonts w:asciiTheme="majorBidi" w:hAnsiTheme="majorBidi" w:cstheme="majorBidi"/>
          <w:szCs w:val="22"/>
        </w:rPr>
      </w:pPr>
    </w:p>
    <w:p w14:paraId="21B8632A" w14:textId="77777777" w:rsidR="001A274F" w:rsidRPr="00D21D8C" w:rsidRDefault="00DA418A">
      <w:pPr>
        <w:keepNext/>
        <w:spacing w:line="240" w:lineRule="auto"/>
        <w:ind w:right="-2"/>
        <w:rPr>
          <w:rFonts w:asciiTheme="majorBidi" w:hAnsiTheme="majorBidi" w:cstheme="majorBidi"/>
          <w:szCs w:val="22"/>
        </w:rPr>
      </w:pPr>
      <w:r w:rsidRPr="00D21D8C">
        <w:rPr>
          <w:rFonts w:asciiTheme="majorBidi" w:hAnsiTheme="majorBidi" w:cstheme="majorBidi"/>
          <w:iCs/>
          <w:color w:val="000000"/>
          <w:szCs w:val="22"/>
          <w:u w:val="single" w:color="000000"/>
        </w:rPr>
        <w:t>Speciale populaties</w:t>
      </w:r>
    </w:p>
    <w:p w14:paraId="39C10671" w14:textId="77777777" w:rsidR="001A274F" w:rsidRPr="00D21D8C" w:rsidRDefault="001A274F">
      <w:pPr>
        <w:keepNext/>
        <w:spacing w:line="240" w:lineRule="auto"/>
        <w:rPr>
          <w:rFonts w:asciiTheme="majorBidi" w:hAnsiTheme="majorBidi" w:cstheme="majorBidi"/>
          <w:iCs/>
          <w:szCs w:val="22"/>
        </w:rPr>
      </w:pPr>
    </w:p>
    <w:p w14:paraId="3D210221" w14:textId="77777777" w:rsidR="001A274F" w:rsidRPr="00D21D8C" w:rsidRDefault="00DA418A">
      <w:pPr>
        <w:keepNext/>
        <w:spacing w:line="240" w:lineRule="auto"/>
        <w:rPr>
          <w:rFonts w:asciiTheme="majorBidi" w:hAnsiTheme="majorBidi" w:cstheme="majorBidi"/>
          <w:i/>
          <w:iCs/>
          <w:szCs w:val="22"/>
        </w:rPr>
      </w:pPr>
      <w:r w:rsidRPr="00D21D8C">
        <w:rPr>
          <w:rFonts w:asciiTheme="majorBidi" w:hAnsiTheme="majorBidi" w:cstheme="majorBidi"/>
          <w:i/>
          <w:iCs/>
          <w:color w:val="000000"/>
          <w:szCs w:val="22"/>
          <w:u w:color="FFFFFF"/>
        </w:rPr>
        <w:t>Leeftijd, geslacht, ras en lichaamsgewicht</w:t>
      </w:r>
    </w:p>
    <w:p w14:paraId="365B871A" w14:textId="7971489E" w:rsidR="001A274F" w:rsidRPr="00D21D8C" w:rsidRDefault="00DA418A" w:rsidP="0065343D">
      <w:r w:rsidRPr="00D21D8C">
        <w:rPr>
          <w:u w:color="FFFFFF"/>
        </w:rPr>
        <w:t xml:space="preserve">Op basis van een populatiefarmacokinetische analyse </w:t>
      </w:r>
      <w:r w:rsidR="00B9729A" w:rsidRPr="00D21D8C">
        <w:rPr>
          <w:u w:color="FFFFFF"/>
        </w:rPr>
        <w:t xml:space="preserve">bij </w:t>
      </w:r>
      <w:r w:rsidRPr="00D21D8C">
        <w:rPr>
          <w:u w:color="FFFFFF"/>
        </w:rPr>
        <w:t>patiënten met kanker hadden leeftijd (bereik</w:t>
      </w:r>
      <w:r w:rsidR="00DE38A3" w:rsidRPr="00D21D8C">
        <w:rPr>
          <w:u w:color="FFFFFF"/>
        </w:rPr>
        <w:t> </w:t>
      </w:r>
      <w:r w:rsidRPr="00D21D8C">
        <w:rPr>
          <w:u w:color="FFFFFF"/>
        </w:rPr>
        <w:t>2</w:t>
      </w:r>
      <w:r w:rsidR="00A72BEA" w:rsidRPr="00D21D8C">
        <w:rPr>
          <w:u w:color="FFFFFF"/>
        </w:rPr>
        <w:t>2</w:t>
      </w:r>
      <w:r w:rsidR="00DE38A3" w:rsidRPr="00D21D8C">
        <w:rPr>
          <w:u w:color="FFFFFF"/>
        </w:rPr>
        <w:t> – </w:t>
      </w:r>
      <w:r w:rsidRPr="00D21D8C">
        <w:rPr>
          <w:u w:color="FFFFFF"/>
        </w:rPr>
        <w:t>95</w:t>
      </w:r>
      <w:r w:rsidR="00DE38A3" w:rsidRPr="00D21D8C">
        <w:rPr>
          <w:u w:color="FFFFFF"/>
        </w:rPr>
        <w:t> </w:t>
      </w:r>
      <w:r w:rsidRPr="00D21D8C">
        <w:rPr>
          <w:u w:color="FFFFFF"/>
        </w:rPr>
        <w:t>jaar), ras,</w:t>
      </w:r>
      <w:r w:rsidRPr="00D21D8C">
        <w:rPr>
          <w:u w:val="single" w:color="FFFFFF"/>
        </w:rPr>
        <w:t xml:space="preserve"> </w:t>
      </w:r>
      <w:r w:rsidRPr="00D21D8C">
        <w:rPr>
          <w:u w:color="FFFFFF"/>
        </w:rPr>
        <w:t>geslacht en lichaamsgewicht (bereik</w:t>
      </w:r>
      <w:r w:rsidR="00DE38A3" w:rsidRPr="00D21D8C">
        <w:rPr>
          <w:u w:color="FFFFFF"/>
        </w:rPr>
        <w:t> </w:t>
      </w:r>
      <w:r w:rsidRPr="00D21D8C">
        <w:rPr>
          <w:u w:color="FFFFFF"/>
        </w:rPr>
        <w:t>35,7</w:t>
      </w:r>
      <w:r w:rsidR="00DE38A3" w:rsidRPr="00D21D8C">
        <w:rPr>
          <w:u w:color="FFFFFF"/>
        </w:rPr>
        <w:t> – </w:t>
      </w:r>
      <w:r w:rsidRPr="00D21D8C">
        <w:rPr>
          <w:u w:color="FFFFFF"/>
        </w:rPr>
        <w:t>152</w:t>
      </w:r>
      <w:r w:rsidR="00DE38A3" w:rsidRPr="00D21D8C">
        <w:rPr>
          <w:u w:color="FFFFFF"/>
        </w:rPr>
        <w:t> </w:t>
      </w:r>
      <w:r w:rsidRPr="00D21D8C">
        <w:rPr>
          <w:u w:color="FFFFFF"/>
        </w:rPr>
        <w:t xml:space="preserve">kg) geen klinisch </w:t>
      </w:r>
      <w:r w:rsidR="00DC6DA3" w:rsidRPr="00D21D8C">
        <w:rPr>
          <w:u w:color="FFFFFF"/>
        </w:rPr>
        <w:t>relevant</w:t>
      </w:r>
      <w:r w:rsidR="00634733" w:rsidRPr="00D21D8C">
        <w:rPr>
          <w:u w:color="FFFFFF"/>
        </w:rPr>
        <w:t xml:space="preserve"> </w:t>
      </w:r>
      <w:r w:rsidRPr="00D21D8C">
        <w:rPr>
          <w:u w:color="FFFFFF"/>
        </w:rPr>
        <w:t>effect op de blootstelling aan pirtobrutinib.</w:t>
      </w:r>
    </w:p>
    <w:p w14:paraId="705AC57C" w14:textId="77777777" w:rsidR="001A274F" w:rsidRPr="00D21D8C" w:rsidRDefault="001A274F">
      <w:pPr>
        <w:spacing w:line="240" w:lineRule="auto"/>
        <w:rPr>
          <w:rFonts w:asciiTheme="majorBidi" w:hAnsiTheme="majorBidi" w:cstheme="majorBidi"/>
          <w:iCs/>
          <w:szCs w:val="22"/>
          <w:highlight w:val="yellow"/>
        </w:rPr>
      </w:pPr>
    </w:p>
    <w:p w14:paraId="65572C77" w14:textId="77777777"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i/>
          <w:iCs/>
          <w:color w:val="000000"/>
          <w:szCs w:val="22"/>
          <w:u w:color="FFFFFF"/>
        </w:rPr>
        <w:t>Nierfunctiestoornis</w:t>
      </w:r>
    </w:p>
    <w:p w14:paraId="071D97D7" w14:textId="403D5900" w:rsidR="00904561" w:rsidRPr="00D21D8C" w:rsidRDefault="00904561" w:rsidP="00904561">
      <w:pPr>
        <w:keepNext/>
        <w:spacing w:line="240" w:lineRule="auto"/>
        <w:rPr>
          <w:rFonts w:asciiTheme="majorBidi" w:hAnsiTheme="majorBidi" w:cstheme="majorBidi"/>
          <w:color w:val="000000"/>
          <w:szCs w:val="22"/>
          <w:u w:color="FFFFFF"/>
        </w:rPr>
      </w:pPr>
      <w:r w:rsidRPr="00D21D8C">
        <w:rPr>
          <w:rFonts w:asciiTheme="majorBidi" w:hAnsiTheme="majorBidi" w:cstheme="majorBidi"/>
          <w:color w:val="000000"/>
          <w:szCs w:val="22"/>
          <w:u w:color="FFFFFF"/>
        </w:rPr>
        <w:t xml:space="preserve">In een </w:t>
      </w:r>
      <w:r w:rsidR="00634733" w:rsidRPr="00D21D8C">
        <w:rPr>
          <w:rFonts w:asciiTheme="majorBidi" w:hAnsiTheme="majorBidi" w:cstheme="majorBidi"/>
          <w:color w:val="000000"/>
          <w:szCs w:val="22"/>
          <w:u w:color="FFFFFF"/>
        </w:rPr>
        <w:t>populatie</w:t>
      </w:r>
      <w:r w:rsidRPr="00D21D8C">
        <w:rPr>
          <w:rFonts w:asciiTheme="majorBidi" w:hAnsiTheme="majorBidi" w:cstheme="majorBidi"/>
          <w:color w:val="000000"/>
          <w:szCs w:val="22"/>
          <w:u w:color="FFFFFF"/>
        </w:rPr>
        <w:t xml:space="preserve">farmacokinetische analyse van kankerpatiënten, patiënten met </w:t>
      </w:r>
      <w:r w:rsidR="008F6DD8" w:rsidRPr="00D21D8C">
        <w:rPr>
          <w:rFonts w:asciiTheme="majorBidi" w:hAnsiTheme="majorBidi" w:cstheme="majorBidi"/>
          <w:color w:val="000000"/>
          <w:szCs w:val="22"/>
          <w:u w:color="FFFFFF"/>
        </w:rPr>
        <w:t xml:space="preserve">lichte </w:t>
      </w:r>
      <w:r w:rsidRPr="00D21D8C">
        <w:rPr>
          <w:rFonts w:asciiTheme="majorBidi" w:hAnsiTheme="majorBidi" w:cstheme="majorBidi"/>
          <w:color w:val="000000"/>
          <w:szCs w:val="22"/>
          <w:u w:color="FFFFFF"/>
        </w:rPr>
        <w:t>(eGFR</w:t>
      </w:r>
      <w:r w:rsidR="00DA252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60</w:t>
      </w:r>
      <w:r w:rsidR="008F6DD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tot</w:t>
      </w:r>
      <w:r w:rsidR="008F6DD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&lt;</w:t>
      </w:r>
      <w:r w:rsidR="008F6DD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90</w:t>
      </w:r>
      <w:r w:rsidR="008F6DD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ml/min) of matige nierinsufficiëntie (eGFR</w:t>
      </w:r>
      <w:r w:rsidR="00DA252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30 tot &lt;</w:t>
      </w:r>
      <w:r w:rsidR="00DA252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60</w:t>
      </w:r>
      <w:r w:rsidR="00DA252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ml/min), was de klaring van pirtobrutinib 16% tot 27% lager vergeleken met de klaring bij patiënten met een normale nierfunctie, resulterend in een verwachte blootstelling van AUC</w:t>
      </w:r>
      <w:r w:rsidR="00DA252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w:t>
      </w:r>
      <w:r w:rsidR="00DA252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94</w:t>
      </w:r>
      <w:r w:rsidR="00AC4D9B" w:rsidRPr="00D21D8C">
        <w:rPr>
          <w:rFonts w:asciiTheme="majorBidi" w:hAnsiTheme="majorBidi" w:cstheme="majorBidi"/>
          <w:color w:val="000000"/>
          <w:szCs w:val="22"/>
          <w:u w:color="FFFFFF"/>
        </w:rPr>
        <w:t>.</w:t>
      </w:r>
      <w:r w:rsidRPr="00D21D8C">
        <w:rPr>
          <w:rFonts w:asciiTheme="majorBidi" w:hAnsiTheme="majorBidi" w:cstheme="majorBidi"/>
          <w:color w:val="000000"/>
          <w:szCs w:val="22"/>
          <w:u w:color="FFFFFF"/>
        </w:rPr>
        <w:t>100</w:t>
      </w:r>
      <w:r w:rsidR="00DA252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ng*</w:t>
      </w:r>
      <w:r w:rsidR="00634733" w:rsidRPr="00D21D8C">
        <w:rPr>
          <w:rFonts w:asciiTheme="majorBidi" w:hAnsiTheme="majorBidi" w:cstheme="majorBidi"/>
          <w:color w:val="000000"/>
          <w:szCs w:val="22"/>
          <w:u w:color="FFFFFF"/>
        </w:rPr>
        <w:t>h</w:t>
      </w:r>
      <w:r w:rsidRPr="00D21D8C">
        <w:rPr>
          <w:rFonts w:asciiTheme="majorBidi" w:hAnsiTheme="majorBidi" w:cstheme="majorBidi"/>
          <w:color w:val="000000"/>
          <w:szCs w:val="22"/>
          <w:u w:color="FFFFFF"/>
        </w:rPr>
        <w:t>/ml en C</w:t>
      </w:r>
      <w:r w:rsidRPr="00D21D8C">
        <w:rPr>
          <w:rFonts w:asciiTheme="majorBidi" w:hAnsiTheme="majorBidi" w:cstheme="majorBidi"/>
          <w:color w:val="000000"/>
          <w:szCs w:val="22"/>
          <w:u w:color="FFFFFF"/>
          <w:vertAlign w:val="subscript"/>
        </w:rPr>
        <w:t>max</w:t>
      </w:r>
      <w:r w:rsidR="00DA252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w:t>
      </w:r>
      <w:r w:rsidR="00DA252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6</w:t>
      </w:r>
      <w:r w:rsidR="00AC4D9B" w:rsidRPr="00D21D8C">
        <w:rPr>
          <w:rFonts w:asciiTheme="majorBidi" w:hAnsiTheme="majorBidi" w:cstheme="majorBidi"/>
          <w:color w:val="000000"/>
          <w:szCs w:val="22"/>
          <w:u w:color="FFFFFF"/>
        </w:rPr>
        <w:t>.</w:t>
      </w:r>
      <w:r w:rsidRPr="00D21D8C">
        <w:rPr>
          <w:rFonts w:asciiTheme="majorBidi" w:hAnsiTheme="majorBidi" w:cstheme="majorBidi"/>
          <w:color w:val="000000"/>
          <w:szCs w:val="22"/>
          <w:u w:color="FFFFFF"/>
        </w:rPr>
        <w:t>680</w:t>
      </w:r>
      <w:r w:rsidR="00DA252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 xml:space="preserve">ng/ml bij patiënten met </w:t>
      </w:r>
      <w:r w:rsidR="00634733" w:rsidRPr="00D21D8C">
        <w:rPr>
          <w:rFonts w:asciiTheme="majorBidi" w:hAnsiTheme="majorBidi" w:cstheme="majorBidi"/>
          <w:color w:val="000000"/>
          <w:szCs w:val="22"/>
          <w:u w:color="FFFFFF"/>
        </w:rPr>
        <w:t xml:space="preserve">een </w:t>
      </w:r>
      <w:r w:rsidR="008F6DD8" w:rsidRPr="00D21D8C">
        <w:rPr>
          <w:rFonts w:asciiTheme="majorBidi" w:hAnsiTheme="majorBidi" w:cstheme="majorBidi"/>
          <w:color w:val="000000"/>
          <w:szCs w:val="22"/>
          <w:u w:color="FFFFFF"/>
        </w:rPr>
        <w:t xml:space="preserve">lichte </w:t>
      </w:r>
      <w:r w:rsidRPr="00D21D8C">
        <w:rPr>
          <w:rFonts w:asciiTheme="majorBidi" w:hAnsiTheme="majorBidi" w:cstheme="majorBidi"/>
          <w:color w:val="000000"/>
          <w:szCs w:val="22"/>
          <w:u w:color="FFFFFF"/>
        </w:rPr>
        <w:t>nierfunctiestoornis (16</w:t>
      </w:r>
      <w:r w:rsidR="009B1C69" w:rsidRPr="00D21D8C">
        <w:rPr>
          <w:rFonts w:asciiTheme="majorBidi" w:hAnsiTheme="majorBidi" w:cstheme="majorBidi"/>
          <w:color w:val="000000"/>
          <w:szCs w:val="22"/>
          <w:u w:color="FFFFFF"/>
        </w:rPr>
        <w:t>-</w:t>
      </w:r>
      <w:r w:rsidRPr="00D21D8C">
        <w:rPr>
          <w:rFonts w:asciiTheme="majorBidi" w:hAnsiTheme="majorBidi" w:cstheme="majorBidi"/>
          <w:color w:val="000000"/>
          <w:szCs w:val="22"/>
          <w:u w:color="FFFFFF"/>
        </w:rPr>
        <w:t xml:space="preserve">19% hoger in vergelijking met patiënten met </w:t>
      </w:r>
      <w:r w:rsidR="00634733" w:rsidRPr="00D21D8C">
        <w:rPr>
          <w:rFonts w:asciiTheme="majorBidi" w:hAnsiTheme="majorBidi" w:cstheme="majorBidi"/>
          <w:color w:val="000000"/>
          <w:szCs w:val="22"/>
          <w:u w:color="FFFFFF"/>
        </w:rPr>
        <w:t xml:space="preserve">een </w:t>
      </w:r>
      <w:r w:rsidRPr="00D21D8C">
        <w:rPr>
          <w:rFonts w:asciiTheme="majorBidi" w:hAnsiTheme="majorBidi" w:cstheme="majorBidi"/>
          <w:color w:val="000000"/>
          <w:szCs w:val="22"/>
          <w:u w:color="FFFFFF"/>
        </w:rPr>
        <w:t>normale nierfunctie) en AUC</w:t>
      </w:r>
      <w:r w:rsidR="00DA252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w:t>
      </w:r>
      <w:r w:rsidR="00DA252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108</w:t>
      </w:r>
      <w:r w:rsidR="00AC4D9B" w:rsidRPr="00D21D8C">
        <w:rPr>
          <w:rFonts w:asciiTheme="majorBidi" w:hAnsiTheme="majorBidi" w:cstheme="majorBidi"/>
          <w:color w:val="000000"/>
          <w:szCs w:val="22"/>
          <w:u w:color="FFFFFF"/>
        </w:rPr>
        <w:t>.</w:t>
      </w:r>
      <w:r w:rsidRPr="00D21D8C">
        <w:rPr>
          <w:rFonts w:asciiTheme="majorBidi" w:hAnsiTheme="majorBidi" w:cstheme="majorBidi"/>
          <w:color w:val="000000"/>
          <w:szCs w:val="22"/>
          <w:u w:color="FFFFFF"/>
        </w:rPr>
        <w:t>000</w:t>
      </w:r>
      <w:r w:rsidR="00DA252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ng*</w:t>
      </w:r>
      <w:r w:rsidR="00634733" w:rsidRPr="00D21D8C">
        <w:rPr>
          <w:rFonts w:asciiTheme="majorBidi" w:hAnsiTheme="majorBidi" w:cstheme="majorBidi"/>
          <w:color w:val="000000"/>
          <w:szCs w:val="22"/>
          <w:u w:color="FFFFFF"/>
        </w:rPr>
        <w:t>h</w:t>
      </w:r>
      <w:r w:rsidRPr="00D21D8C">
        <w:rPr>
          <w:rFonts w:asciiTheme="majorBidi" w:hAnsiTheme="majorBidi" w:cstheme="majorBidi"/>
          <w:color w:val="000000"/>
          <w:szCs w:val="22"/>
          <w:u w:color="FFFFFF"/>
        </w:rPr>
        <w:t>/ml en C</w:t>
      </w:r>
      <w:r w:rsidRPr="00D21D8C">
        <w:rPr>
          <w:rFonts w:asciiTheme="majorBidi" w:hAnsiTheme="majorBidi" w:cstheme="majorBidi"/>
          <w:color w:val="000000"/>
          <w:szCs w:val="22"/>
          <w:u w:color="FFFFFF"/>
          <w:vertAlign w:val="subscript"/>
        </w:rPr>
        <w:t>max</w:t>
      </w:r>
      <w:r w:rsidR="00DA252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w:t>
      </w:r>
      <w:r w:rsidR="00DA252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7</w:t>
      </w:r>
      <w:r w:rsidR="00AC4D9B" w:rsidRPr="00D21D8C">
        <w:rPr>
          <w:rFonts w:asciiTheme="majorBidi" w:hAnsiTheme="majorBidi" w:cstheme="majorBidi"/>
          <w:color w:val="000000"/>
          <w:szCs w:val="22"/>
          <w:u w:color="FFFFFF"/>
        </w:rPr>
        <w:t>.</w:t>
      </w:r>
      <w:r w:rsidRPr="00D21D8C">
        <w:rPr>
          <w:rFonts w:asciiTheme="majorBidi" w:hAnsiTheme="majorBidi" w:cstheme="majorBidi"/>
          <w:color w:val="000000"/>
          <w:szCs w:val="22"/>
          <w:u w:color="FFFFFF"/>
        </w:rPr>
        <w:t>360</w:t>
      </w:r>
      <w:r w:rsidR="00DA252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ng/ml bij patiënten met een matige nierfunctiestoornis (28</w:t>
      </w:r>
      <w:r w:rsidR="00DA252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tot 36% hoger in vergelijking met patiënten met een normale nierfunctie).</w:t>
      </w:r>
    </w:p>
    <w:p w14:paraId="1556BBCB" w14:textId="77777777" w:rsidR="00904561" w:rsidRPr="00D21D8C" w:rsidRDefault="00904561" w:rsidP="00904561">
      <w:pPr>
        <w:keepNext/>
        <w:spacing w:line="240" w:lineRule="auto"/>
        <w:rPr>
          <w:rFonts w:asciiTheme="majorBidi" w:hAnsiTheme="majorBidi" w:cstheme="majorBidi"/>
          <w:color w:val="000000"/>
          <w:szCs w:val="22"/>
          <w:u w:color="FFFFFF"/>
        </w:rPr>
      </w:pPr>
    </w:p>
    <w:p w14:paraId="3B6F266D" w14:textId="0C8C1EE2" w:rsidR="00904561" w:rsidRPr="00D21D8C" w:rsidRDefault="00904561" w:rsidP="00904561">
      <w:pPr>
        <w:keepNext/>
        <w:spacing w:line="240" w:lineRule="auto"/>
        <w:rPr>
          <w:rFonts w:asciiTheme="majorBidi" w:hAnsiTheme="majorBidi" w:cstheme="majorBidi"/>
          <w:color w:val="000000"/>
          <w:szCs w:val="22"/>
          <w:u w:color="FFFFFF"/>
        </w:rPr>
      </w:pPr>
      <w:r w:rsidRPr="00D21D8C">
        <w:rPr>
          <w:rFonts w:asciiTheme="majorBidi" w:hAnsiTheme="majorBidi" w:cstheme="majorBidi"/>
          <w:color w:val="000000"/>
          <w:szCs w:val="22"/>
          <w:u w:color="FFFFFF"/>
        </w:rPr>
        <w:t>In een klinisch-farmacologisch onderzoek met verder gezonde vrijwilligers was de schijnbare klaring 35% lager bij vier deelnemers met een ernstige nierfunctiestoornis (eGFR</w:t>
      </w:r>
      <w:r w:rsidR="00DA252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15 tot &lt;</w:t>
      </w:r>
      <w:r w:rsidR="00DA252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30</w:t>
      </w:r>
      <w:r w:rsidR="00DA252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ml/min) in vergelijking met acht deelnemers met een normale nierfunctie (eGFR</w:t>
      </w:r>
      <w:r w:rsidR="00DA252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w:t>
      </w:r>
      <w:r w:rsidR="00DA252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90</w:t>
      </w:r>
      <w:r w:rsidR="00DA252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ml/min)</w:t>
      </w:r>
      <w:r w:rsidR="000843EC" w:rsidRPr="00D21D8C">
        <w:rPr>
          <w:rFonts w:asciiTheme="majorBidi" w:hAnsiTheme="majorBidi" w:cstheme="majorBidi"/>
          <w:color w:val="000000"/>
          <w:szCs w:val="22"/>
          <w:u w:color="FFFFFF"/>
        </w:rPr>
        <w:t>,</w:t>
      </w:r>
      <w:r w:rsidRPr="00D21D8C">
        <w:rPr>
          <w:rFonts w:asciiTheme="majorBidi" w:hAnsiTheme="majorBidi" w:cstheme="majorBidi"/>
          <w:color w:val="000000"/>
          <w:szCs w:val="22"/>
          <w:u w:color="FFFFFF"/>
        </w:rPr>
        <w:t xml:space="preserve"> resulterend in blootstellingen van AUC</w:t>
      </w:r>
      <w:r w:rsidRPr="00D21D8C">
        <w:rPr>
          <w:rFonts w:asciiTheme="majorBidi" w:hAnsiTheme="majorBidi" w:cstheme="majorBidi"/>
          <w:color w:val="000000"/>
          <w:szCs w:val="22"/>
          <w:u w:color="FFFFFF"/>
          <w:vertAlign w:val="subscript"/>
        </w:rPr>
        <w:t xml:space="preserve">0 inf </w:t>
      </w:r>
      <w:r w:rsidRPr="00D21D8C">
        <w:rPr>
          <w:rFonts w:asciiTheme="majorBidi" w:hAnsiTheme="majorBidi" w:cstheme="majorBidi"/>
          <w:color w:val="000000"/>
          <w:szCs w:val="22"/>
          <w:u w:color="FFFFFF"/>
        </w:rPr>
        <w:t>=</w:t>
      </w:r>
      <w:r w:rsidR="00DA252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115</w:t>
      </w:r>
      <w:r w:rsidR="00AC4D9B" w:rsidRPr="00D21D8C">
        <w:rPr>
          <w:rFonts w:asciiTheme="majorBidi" w:hAnsiTheme="majorBidi" w:cstheme="majorBidi"/>
          <w:color w:val="000000"/>
          <w:szCs w:val="22"/>
          <w:u w:color="FFFFFF"/>
        </w:rPr>
        <w:t>.</w:t>
      </w:r>
      <w:r w:rsidRPr="00D21D8C">
        <w:rPr>
          <w:rFonts w:asciiTheme="majorBidi" w:hAnsiTheme="majorBidi" w:cstheme="majorBidi"/>
          <w:color w:val="000000"/>
          <w:szCs w:val="22"/>
          <w:u w:color="FFFFFF"/>
        </w:rPr>
        <w:t>000</w:t>
      </w:r>
      <w:r w:rsidR="00DA252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ng*</w:t>
      </w:r>
      <w:r w:rsidR="004B77E7" w:rsidRPr="00D21D8C">
        <w:rPr>
          <w:rFonts w:asciiTheme="majorBidi" w:hAnsiTheme="majorBidi" w:cstheme="majorBidi"/>
          <w:color w:val="000000"/>
          <w:szCs w:val="22"/>
          <w:u w:color="FFFFFF"/>
        </w:rPr>
        <w:t>h</w:t>
      </w:r>
      <w:r w:rsidRPr="00D21D8C">
        <w:rPr>
          <w:rFonts w:asciiTheme="majorBidi" w:hAnsiTheme="majorBidi" w:cstheme="majorBidi"/>
          <w:color w:val="000000"/>
          <w:szCs w:val="22"/>
          <w:u w:color="FFFFFF"/>
        </w:rPr>
        <w:t>/ml en C</w:t>
      </w:r>
      <w:r w:rsidRPr="00D21D8C">
        <w:rPr>
          <w:rFonts w:asciiTheme="majorBidi" w:hAnsiTheme="majorBidi" w:cstheme="majorBidi"/>
          <w:color w:val="000000"/>
          <w:szCs w:val="22"/>
          <w:u w:color="FFFFFF"/>
          <w:vertAlign w:val="subscript"/>
        </w:rPr>
        <w:t>max</w:t>
      </w:r>
      <w:r w:rsidR="00DA252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w:t>
      </w:r>
      <w:r w:rsidR="00DA252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2</w:t>
      </w:r>
      <w:r w:rsidR="00AC4D9B" w:rsidRPr="00D21D8C">
        <w:rPr>
          <w:rFonts w:asciiTheme="majorBidi" w:hAnsiTheme="majorBidi" w:cstheme="majorBidi"/>
          <w:color w:val="000000"/>
          <w:szCs w:val="22"/>
          <w:u w:color="FFFFFF"/>
        </w:rPr>
        <w:t>.</w:t>
      </w:r>
      <w:r w:rsidRPr="00D21D8C">
        <w:rPr>
          <w:rFonts w:asciiTheme="majorBidi" w:hAnsiTheme="majorBidi" w:cstheme="majorBidi"/>
          <w:color w:val="000000"/>
          <w:szCs w:val="22"/>
          <w:u w:color="FFFFFF"/>
        </w:rPr>
        <w:t>980</w:t>
      </w:r>
      <w:r w:rsidR="00DA252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 xml:space="preserve">ng/ml (respectievelijk 62% hoger en 7% lager in vergelijking met </w:t>
      </w:r>
      <w:r w:rsidR="00783199" w:rsidRPr="00D21D8C">
        <w:rPr>
          <w:rFonts w:asciiTheme="majorBidi" w:hAnsiTheme="majorBidi" w:cstheme="majorBidi"/>
          <w:color w:val="000000"/>
          <w:szCs w:val="22"/>
          <w:u w:color="FFFFFF"/>
        </w:rPr>
        <w:t xml:space="preserve">een </w:t>
      </w:r>
      <w:r w:rsidRPr="00D21D8C">
        <w:rPr>
          <w:rFonts w:asciiTheme="majorBidi" w:hAnsiTheme="majorBidi" w:cstheme="majorBidi"/>
          <w:color w:val="000000"/>
          <w:szCs w:val="22"/>
          <w:u w:color="FFFFFF"/>
        </w:rPr>
        <w:t>normale nierfunctie).</w:t>
      </w:r>
    </w:p>
    <w:p w14:paraId="3221E89C" w14:textId="77777777" w:rsidR="00904561" w:rsidRPr="00D21D8C" w:rsidRDefault="00904561" w:rsidP="00904561">
      <w:pPr>
        <w:keepNext/>
        <w:spacing w:line="240" w:lineRule="auto"/>
        <w:rPr>
          <w:rFonts w:asciiTheme="majorBidi" w:hAnsiTheme="majorBidi" w:cstheme="majorBidi"/>
          <w:color w:val="000000"/>
          <w:szCs w:val="22"/>
          <w:u w:color="FFFFFF"/>
        </w:rPr>
      </w:pPr>
    </w:p>
    <w:p w14:paraId="59E56750" w14:textId="76897B52" w:rsidR="00904561" w:rsidRPr="00D21D8C" w:rsidRDefault="00904561" w:rsidP="00904561">
      <w:pPr>
        <w:keepNext/>
        <w:spacing w:line="240" w:lineRule="auto"/>
        <w:rPr>
          <w:rFonts w:asciiTheme="majorBidi" w:hAnsiTheme="majorBidi" w:cstheme="majorBidi"/>
          <w:color w:val="000000"/>
          <w:szCs w:val="22"/>
          <w:u w:color="FFFFFF"/>
        </w:rPr>
      </w:pPr>
      <w:r w:rsidRPr="00D21D8C">
        <w:rPr>
          <w:rFonts w:asciiTheme="majorBidi" w:hAnsiTheme="majorBidi" w:cstheme="majorBidi"/>
          <w:color w:val="000000"/>
          <w:szCs w:val="22"/>
          <w:u w:color="FFFFFF"/>
        </w:rPr>
        <w:t xml:space="preserve">Patiënten met </w:t>
      </w:r>
      <w:r w:rsidR="00AD017F" w:rsidRPr="00D21D8C">
        <w:rPr>
          <w:rFonts w:asciiTheme="majorBidi" w:hAnsiTheme="majorBidi" w:cstheme="majorBidi"/>
          <w:color w:val="000000"/>
          <w:szCs w:val="22"/>
          <w:u w:color="FFFFFF"/>
        </w:rPr>
        <w:t>dialyseafhankelijk terminaal nierfalen</w:t>
      </w:r>
      <w:r w:rsidRPr="00D21D8C">
        <w:rPr>
          <w:rFonts w:asciiTheme="majorBidi" w:hAnsiTheme="majorBidi" w:cstheme="majorBidi"/>
          <w:color w:val="000000"/>
          <w:szCs w:val="22"/>
          <w:u w:color="FFFFFF"/>
        </w:rPr>
        <w:t xml:space="preserve"> werden niet onderzocht (zie rubriek</w:t>
      </w:r>
      <w:r w:rsidR="00DA2528" w:rsidRPr="00D21D8C">
        <w:rPr>
          <w:rFonts w:asciiTheme="majorBidi" w:hAnsiTheme="majorBidi" w:cstheme="majorBidi"/>
          <w:color w:val="000000"/>
          <w:szCs w:val="22"/>
          <w:u w:color="FFFFFF"/>
        </w:rPr>
        <w:t> </w:t>
      </w:r>
      <w:r w:rsidRPr="00D21D8C">
        <w:rPr>
          <w:rFonts w:asciiTheme="majorBidi" w:hAnsiTheme="majorBidi" w:cstheme="majorBidi"/>
          <w:color w:val="000000"/>
          <w:szCs w:val="22"/>
          <w:u w:color="FFFFFF"/>
        </w:rPr>
        <w:t>4.2).</w:t>
      </w:r>
    </w:p>
    <w:p w14:paraId="4918E9CA" w14:textId="77777777" w:rsidR="001A274F" w:rsidRPr="00D21D8C" w:rsidRDefault="001A274F">
      <w:pPr>
        <w:spacing w:line="240" w:lineRule="auto"/>
        <w:rPr>
          <w:rFonts w:asciiTheme="majorBidi" w:hAnsiTheme="majorBidi" w:cstheme="majorBidi"/>
          <w:strike/>
          <w:szCs w:val="22"/>
        </w:rPr>
      </w:pPr>
    </w:p>
    <w:p w14:paraId="5BCDCF76" w14:textId="77777777"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i/>
          <w:iCs/>
          <w:color w:val="000000"/>
          <w:szCs w:val="22"/>
          <w:u w:color="FFFFFF"/>
        </w:rPr>
        <w:t>Leverfunctiestoornis</w:t>
      </w:r>
    </w:p>
    <w:p w14:paraId="019CBCFC" w14:textId="0A38629D"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color="FFFFFF"/>
        </w:rPr>
        <w:t xml:space="preserve">Er waren geen klinisch </w:t>
      </w:r>
      <w:r w:rsidR="00AD017F" w:rsidRPr="00D21D8C">
        <w:rPr>
          <w:rFonts w:asciiTheme="majorBidi" w:hAnsiTheme="majorBidi" w:cstheme="majorBidi"/>
          <w:color w:val="000000"/>
          <w:szCs w:val="22"/>
          <w:u w:color="FFFFFF"/>
        </w:rPr>
        <w:t xml:space="preserve">significante </w:t>
      </w:r>
      <w:r w:rsidRPr="00D21D8C">
        <w:rPr>
          <w:rFonts w:asciiTheme="majorBidi" w:hAnsiTheme="majorBidi" w:cstheme="majorBidi"/>
          <w:color w:val="000000"/>
          <w:szCs w:val="22"/>
          <w:u w:color="FFFFFF"/>
        </w:rPr>
        <w:t xml:space="preserve">verschillen in de farmacokinetiek van pirtobrutinib voor </w:t>
      </w:r>
      <w:r w:rsidR="001F40B1" w:rsidRPr="00D21D8C">
        <w:rPr>
          <w:rFonts w:asciiTheme="majorBidi" w:hAnsiTheme="majorBidi" w:cstheme="majorBidi"/>
          <w:color w:val="000000"/>
          <w:szCs w:val="22"/>
          <w:u w:color="FFFFFF"/>
        </w:rPr>
        <w:t>elke graad</w:t>
      </w:r>
      <w:r w:rsidRPr="00D21D8C">
        <w:rPr>
          <w:rFonts w:asciiTheme="majorBidi" w:hAnsiTheme="majorBidi" w:cstheme="majorBidi"/>
          <w:color w:val="000000"/>
          <w:szCs w:val="22"/>
          <w:u w:color="FFFFFF"/>
        </w:rPr>
        <w:t xml:space="preserve"> van lever</w:t>
      </w:r>
      <w:r w:rsidR="001F40B1" w:rsidRPr="00D21D8C">
        <w:rPr>
          <w:rFonts w:asciiTheme="majorBidi" w:hAnsiTheme="majorBidi" w:cstheme="majorBidi"/>
          <w:color w:val="000000"/>
          <w:szCs w:val="22"/>
          <w:u w:color="FFFFFF"/>
        </w:rPr>
        <w:t>functiestoornis</w:t>
      </w:r>
      <w:r w:rsidRPr="00D21D8C">
        <w:rPr>
          <w:rFonts w:asciiTheme="majorBidi" w:hAnsiTheme="majorBidi" w:cstheme="majorBidi"/>
          <w:color w:val="000000"/>
          <w:szCs w:val="22"/>
          <w:u w:color="FFFFFF"/>
        </w:rPr>
        <w:t xml:space="preserve"> (Child</w:t>
      </w:r>
      <w:r w:rsidRPr="00D21D8C">
        <w:rPr>
          <w:rFonts w:asciiTheme="majorBidi" w:hAnsiTheme="majorBidi" w:cstheme="majorBidi"/>
          <w:color w:val="000000"/>
          <w:szCs w:val="22"/>
          <w:u w:color="FFFFFF"/>
        </w:rPr>
        <w:noBreakHyphen/>
        <w:t>Pugh klasse A, B, en C of tota</w:t>
      </w:r>
      <w:r w:rsidR="001F40B1" w:rsidRPr="00D21D8C">
        <w:rPr>
          <w:rFonts w:asciiTheme="majorBidi" w:hAnsiTheme="majorBidi" w:cstheme="majorBidi"/>
          <w:color w:val="000000"/>
          <w:szCs w:val="22"/>
          <w:u w:color="FFFFFF"/>
        </w:rPr>
        <w:t>a</w:t>
      </w:r>
      <w:r w:rsidRPr="00D21D8C">
        <w:rPr>
          <w:rFonts w:asciiTheme="majorBidi" w:hAnsiTheme="majorBidi" w:cstheme="majorBidi"/>
          <w:color w:val="000000"/>
          <w:szCs w:val="22"/>
          <w:u w:color="FFFFFF"/>
        </w:rPr>
        <w:t>lbilirubine en ongeacht welke AS</w:t>
      </w:r>
      <w:r w:rsidR="00DE38A3" w:rsidRPr="00D21D8C">
        <w:rPr>
          <w:rFonts w:asciiTheme="majorBidi" w:hAnsiTheme="majorBidi" w:cstheme="majorBidi"/>
          <w:color w:val="000000"/>
          <w:szCs w:val="22"/>
          <w:u w:color="FFFFFF"/>
        </w:rPr>
        <w:t>A</w:t>
      </w:r>
      <w:r w:rsidRPr="00D21D8C">
        <w:rPr>
          <w:rFonts w:asciiTheme="majorBidi" w:hAnsiTheme="majorBidi" w:cstheme="majorBidi"/>
          <w:color w:val="000000"/>
          <w:szCs w:val="22"/>
          <w:u w:color="FFFFFF"/>
        </w:rPr>
        <w:t xml:space="preserve">T). In een </w:t>
      </w:r>
      <w:r w:rsidR="001F40B1" w:rsidRPr="00D21D8C">
        <w:rPr>
          <w:rFonts w:asciiTheme="majorBidi" w:hAnsiTheme="majorBidi" w:cstheme="majorBidi"/>
          <w:color w:val="000000"/>
          <w:szCs w:val="22"/>
          <w:u w:color="FFFFFF"/>
        </w:rPr>
        <w:t xml:space="preserve">speciaal </w:t>
      </w:r>
      <w:r w:rsidRPr="00D21D8C">
        <w:rPr>
          <w:rFonts w:asciiTheme="majorBidi" w:hAnsiTheme="majorBidi" w:cstheme="majorBidi"/>
          <w:color w:val="000000"/>
          <w:szCs w:val="22"/>
          <w:u w:color="FFFFFF"/>
        </w:rPr>
        <w:t xml:space="preserve">onderzoek naar </w:t>
      </w:r>
      <w:r w:rsidR="001F40B1" w:rsidRPr="00D21D8C">
        <w:rPr>
          <w:rFonts w:asciiTheme="majorBidi" w:hAnsiTheme="majorBidi" w:cstheme="majorBidi"/>
          <w:color w:val="000000"/>
          <w:szCs w:val="22"/>
          <w:u w:color="FFFFFF"/>
        </w:rPr>
        <w:t xml:space="preserve">leverfunctiestoornis </w:t>
      </w:r>
      <w:r w:rsidRPr="00D21D8C">
        <w:rPr>
          <w:rFonts w:asciiTheme="majorBidi" w:hAnsiTheme="majorBidi" w:cstheme="majorBidi"/>
          <w:color w:val="000000"/>
          <w:szCs w:val="22"/>
          <w:u w:color="FFFFFF"/>
        </w:rPr>
        <w:t>waren de gemiddelde AUC en C</w:t>
      </w:r>
      <w:r w:rsidRPr="00D21D8C">
        <w:rPr>
          <w:rFonts w:asciiTheme="majorBidi" w:hAnsiTheme="majorBidi" w:cstheme="majorBidi"/>
          <w:color w:val="000000"/>
          <w:szCs w:val="22"/>
          <w:u w:color="FFFFFF"/>
          <w:vertAlign w:val="subscript"/>
        </w:rPr>
        <w:t>max</w:t>
      </w:r>
      <w:r w:rsidRPr="00D21D8C">
        <w:rPr>
          <w:rFonts w:asciiTheme="majorBidi" w:hAnsiTheme="majorBidi" w:cstheme="majorBidi"/>
          <w:color w:val="000000"/>
          <w:szCs w:val="22"/>
          <w:u w:color="FFFFFF"/>
        </w:rPr>
        <w:t xml:space="preserve"> van pirtobrutinib vergelijkbaar tussen proefpersonen met </w:t>
      </w:r>
      <w:r w:rsidR="00AD017F" w:rsidRPr="00D21D8C">
        <w:rPr>
          <w:rFonts w:asciiTheme="majorBidi" w:hAnsiTheme="majorBidi" w:cstheme="majorBidi"/>
          <w:color w:val="000000"/>
          <w:szCs w:val="22"/>
          <w:u w:color="FFFFFF"/>
        </w:rPr>
        <w:t xml:space="preserve">een </w:t>
      </w:r>
      <w:r w:rsidR="008F6DD8" w:rsidRPr="00D21D8C">
        <w:rPr>
          <w:rFonts w:asciiTheme="majorBidi" w:hAnsiTheme="majorBidi" w:cstheme="majorBidi"/>
          <w:color w:val="000000"/>
          <w:szCs w:val="22"/>
          <w:u w:color="FFFFFF"/>
        </w:rPr>
        <w:t xml:space="preserve">lichte </w:t>
      </w:r>
      <w:r w:rsidR="001F40B1" w:rsidRPr="00D21D8C">
        <w:rPr>
          <w:rFonts w:asciiTheme="majorBidi" w:hAnsiTheme="majorBidi" w:cstheme="majorBidi"/>
          <w:color w:val="000000"/>
          <w:szCs w:val="22"/>
          <w:u w:color="FFFFFF"/>
        </w:rPr>
        <w:t xml:space="preserve">leverfunctiestoornis </w:t>
      </w:r>
      <w:r w:rsidRPr="00D21D8C">
        <w:rPr>
          <w:rFonts w:asciiTheme="majorBidi" w:hAnsiTheme="majorBidi" w:cstheme="majorBidi"/>
          <w:color w:val="000000"/>
          <w:szCs w:val="22"/>
          <w:u w:color="FFFFFF"/>
        </w:rPr>
        <w:t>(Child</w:t>
      </w:r>
      <w:r w:rsidRPr="00D21D8C">
        <w:rPr>
          <w:rFonts w:asciiTheme="majorBidi" w:hAnsiTheme="majorBidi" w:cstheme="majorBidi"/>
          <w:color w:val="000000"/>
          <w:szCs w:val="22"/>
          <w:u w:color="FFFFFF"/>
        </w:rPr>
        <w:noBreakHyphen/>
        <w:t xml:space="preserve">Pugh A) en proefpersonen met een normale leverfunctie. Bij proefpersonen met </w:t>
      </w:r>
      <w:r w:rsidR="00AD017F" w:rsidRPr="00D21D8C">
        <w:rPr>
          <w:rFonts w:asciiTheme="majorBidi" w:hAnsiTheme="majorBidi" w:cstheme="majorBidi"/>
          <w:color w:val="000000"/>
          <w:szCs w:val="22"/>
          <w:u w:color="FFFFFF"/>
        </w:rPr>
        <w:t xml:space="preserve">een </w:t>
      </w:r>
      <w:r w:rsidRPr="00D21D8C">
        <w:rPr>
          <w:rFonts w:asciiTheme="majorBidi" w:hAnsiTheme="majorBidi" w:cstheme="majorBidi"/>
          <w:color w:val="000000"/>
          <w:szCs w:val="22"/>
          <w:u w:color="FFFFFF"/>
        </w:rPr>
        <w:t xml:space="preserve">matige </w:t>
      </w:r>
      <w:r w:rsidR="001F40B1" w:rsidRPr="00D21D8C">
        <w:rPr>
          <w:rFonts w:asciiTheme="majorBidi" w:hAnsiTheme="majorBidi" w:cstheme="majorBidi"/>
          <w:color w:val="000000"/>
          <w:szCs w:val="22"/>
          <w:u w:color="FFFFFF"/>
        </w:rPr>
        <w:t xml:space="preserve">leverfunctiestoornis </w:t>
      </w:r>
      <w:r w:rsidRPr="00D21D8C">
        <w:rPr>
          <w:rFonts w:asciiTheme="majorBidi" w:hAnsiTheme="majorBidi" w:cstheme="majorBidi"/>
          <w:color w:val="000000"/>
          <w:szCs w:val="22"/>
          <w:u w:color="FFFFFF"/>
        </w:rPr>
        <w:t xml:space="preserve">(Child-Pugh B) was de AUC 15% lager in vergelijking met </w:t>
      </w:r>
      <w:r w:rsidR="00AD017F" w:rsidRPr="00D21D8C">
        <w:rPr>
          <w:rFonts w:asciiTheme="majorBidi" w:hAnsiTheme="majorBidi" w:cstheme="majorBidi"/>
          <w:color w:val="000000"/>
          <w:szCs w:val="22"/>
          <w:u w:color="FFFFFF"/>
        </w:rPr>
        <w:t xml:space="preserve">een </w:t>
      </w:r>
      <w:r w:rsidRPr="00D21D8C">
        <w:rPr>
          <w:rFonts w:asciiTheme="majorBidi" w:hAnsiTheme="majorBidi" w:cstheme="majorBidi"/>
          <w:color w:val="000000"/>
          <w:szCs w:val="22"/>
          <w:u w:color="FFFFFF"/>
        </w:rPr>
        <w:t>normale leverfunctie en de C</w:t>
      </w:r>
      <w:r w:rsidRPr="00D21D8C">
        <w:rPr>
          <w:rFonts w:asciiTheme="majorBidi" w:hAnsiTheme="majorBidi" w:cstheme="majorBidi"/>
          <w:color w:val="000000"/>
          <w:szCs w:val="22"/>
          <w:u w:color="FFFFFF"/>
          <w:vertAlign w:val="subscript"/>
        </w:rPr>
        <w:t>max</w:t>
      </w:r>
      <w:r w:rsidRPr="00D21D8C">
        <w:rPr>
          <w:rFonts w:asciiTheme="majorBidi" w:hAnsiTheme="majorBidi" w:cstheme="majorBidi"/>
          <w:color w:val="000000"/>
          <w:szCs w:val="22"/>
          <w:u w:color="FFFFFF"/>
        </w:rPr>
        <w:t xml:space="preserve"> was vergelijkbaar. Bij </w:t>
      </w:r>
      <w:r w:rsidR="001F40B1" w:rsidRPr="00D21D8C">
        <w:rPr>
          <w:rFonts w:asciiTheme="majorBidi" w:hAnsiTheme="majorBidi" w:cstheme="majorBidi"/>
          <w:color w:val="000000"/>
          <w:szCs w:val="22"/>
          <w:u w:color="FFFFFF"/>
        </w:rPr>
        <w:t xml:space="preserve">proefpersonen </w:t>
      </w:r>
      <w:r w:rsidRPr="00D21D8C">
        <w:rPr>
          <w:rFonts w:asciiTheme="majorBidi" w:hAnsiTheme="majorBidi" w:cstheme="majorBidi"/>
          <w:color w:val="000000"/>
          <w:szCs w:val="22"/>
          <w:u w:color="FFFFFF"/>
        </w:rPr>
        <w:t xml:space="preserve">met </w:t>
      </w:r>
      <w:r w:rsidR="00AD017F" w:rsidRPr="00D21D8C">
        <w:rPr>
          <w:rFonts w:asciiTheme="majorBidi" w:hAnsiTheme="majorBidi" w:cstheme="majorBidi"/>
          <w:color w:val="000000"/>
          <w:szCs w:val="22"/>
          <w:u w:color="FFFFFF"/>
        </w:rPr>
        <w:t xml:space="preserve">een </w:t>
      </w:r>
      <w:r w:rsidRPr="00D21D8C">
        <w:rPr>
          <w:rFonts w:asciiTheme="majorBidi" w:hAnsiTheme="majorBidi" w:cstheme="majorBidi"/>
          <w:color w:val="000000"/>
          <w:szCs w:val="22"/>
          <w:u w:color="FFFFFF"/>
        </w:rPr>
        <w:t xml:space="preserve">ernstige </w:t>
      </w:r>
      <w:r w:rsidR="001F40B1" w:rsidRPr="00D21D8C">
        <w:rPr>
          <w:rFonts w:asciiTheme="majorBidi" w:hAnsiTheme="majorBidi" w:cstheme="majorBidi"/>
          <w:color w:val="000000"/>
          <w:szCs w:val="22"/>
          <w:u w:color="FFFFFF"/>
        </w:rPr>
        <w:t xml:space="preserve">leverfunctiestoornis </w:t>
      </w:r>
      <w:r w:rsidRPr="00D21D8C">
        <w:rPr>
          <w:rFonts w:asciiTheme="majorBidi" w:hAnsiTheme="majorBidi" w:cstheme="majorBidi"/>
          <w:color w:val="000000"/>
          <w:szCs w:val="22"/>
          <w:u w:color="FFFFFF"/>
        </w:rPr>
        <w:t>(Child</w:t>
      </w:r>
      <w:r w:rsidRPr="00D21D8C">
        <w:rPr>
          <w:rFonts w:asciiTheme="majorBidi" w:hAnsiTheme="majorBidi" w:cstheme="majorBidi"/>
          <w:color w:val="000000"/>
          <w:szCs w:val="22"/>
          <w:u w:color="FFFFFF"/>
        </w:rPr>
        <w:noBreakHyphen/>
        <w:t>Pugh C) was de AUC van pirtobrutinib 21% lager en gemiddelde C</w:t>
      </w:r>
      <w:r w:rsidRPr="00D21D8C">
        <w:rPr>
          <w:rFonts w:asciiTheme="majorBidi" w:hAnsiTheme="majorBidi" w:cstheme="majorBidi"/>
          <w:color w:val="000000"/>
          <w:szCs w:val="22"/>
          <w:u w:color="FFFFFF"/>
          <w:vertAlign w:val="subscript"/>
        </w:rPr>
        <w:t>max</w:t>
      </w:r>
      <w:r w:rsidRPr="00D21D8C">
        <w:rPr>
          <w:rFonts w:asciiTheme="majorBidi" w:hAnsiTheme="majorBidi" w:cstheme="majorBidi"/>
          <w:color w:val="000000"/>
          <w:szCs w:val="22"/>
          <w:u w:color="FFFFFF"/>
        </w:rPr>
        <w:t xml:space="preserve"> 24% lager dan bij proefpersonen met een normale leverfunctie. De ongebonden fractie (fu) voor pirtobrutinib bij proefpersonen </w:t>
      </w:r>
      <w:r w:rsidR="00B5348C" w:rsidRPr="00D21D8C">
        <w:rPr>
          <w:rFonts w:asciiTheme="majorBidi" w:hAnsiTheme="majorBidi" w:cstheme="majorBidi"/>
          <w:color w:val="000000"/>
          <w:szCs w:val="22"/>
          <w:u w:color="FFFFFF"/>
        </w:rPr>
        <w:t xml:space="preserve">nam </w:t>
      </w:r>
      <w:r w:rsidRPr="00D21D8C">
        <w:rPr>
          <w:rFonts w:asciiTheme="majorBidi" w:hAnsiTheme="majorBidi" w:cstheme="majorBidi"/>
          <w:color w:val="000000"/>
          <w:szCs w:val="22"/>
          <w:u w:color="FFFFFF"/>
        </w:rPr>
        <w:t xml:space="preserve">over het algemeen </w:t>
      </w:r>
      <w:r w:rsidR="00B5348C" w:rsidRPr="00D21D8C">
        <w:rPr>
          <w:rFonts w:asciiTheme="majorBidi" w:hAnsiTheme="majorBidi" w:cstheme="majorBidi"/>
          <w:color w:val="000000"/>
          <w:szCs w:val="22"/>
          <w:u w:color="FFFFFF"/>
        </w:rPr>
        <w:t xml:space="preserve">toe </w:t>
      </w:r>
      <w:r w:rsidRPr="00D21D8C">
        <w:rPr>
          <w:rFonts w:asciiTheme="majorBidi" w:hAnsiTheme="majorBidi" w:cstheme="majorBidi"/>
          <w:color w:val="000000"/>
          <w:szCs w:val="22"/>
          <w:u w:color="FFFFFF"/>
        </w:rPr>
        <w:t xml:space="preserve">naarmate de ernst van </w:t>
      </w:r>
      <w:r w:rsidR="00B5348C" w:rsidRPr="00D21D8C">
        <w:rPr>
          <w:rFonts w:asciiTheme="majorBidi" w:hAnsiTheme="majorBidi" w:cstheme="majorBidi"/>
          <w:color w:val="000000"/>
          <w:szCs w:val="22"/>
          <w:u w:color="FFFFFF"/>
        </w:rPr>
        <w:t xml:space="preserve">de leverfunctiestoornis </w:t>
      </w:r>
      <w:r w:rsidRPr="00D21D8C">
        <w:rPr>
          <w:rFonts w:asciiTheme="majorBidi" w:hAnsiTheme="majorBidi" w:cstheme="majorBidi"/>
          <w:color w:val="000000"/>
          <w:szCs w:val="22"/>
          <w:u w:color="FFFFFF"/>
        </w:rPr>
        <w:t xml:space="preserve">toenam. </w:t>
      </w:r>
      <w:r w:rsidR="00B5348C" w:rsidRPr="00D21D8C">
        <w:rPr>
          <w:rFonts w:asciiTheme="majorBidi" w:hAnsiTheme="majorBidi" w:cstheme="majorBidi"/>
          <w:color w:val="000000"/>
          <w:szCs w:val="22"/>
          <w:u w:color="FFFFFF"/>
        </w:rPr>
        <w:t xml:space="preserve">Daarom werd er na </w:t>
      </w:r>
      <w:r w:rsidRPr="00D21D8C">
        <w:rPr>
          <w:rFonts w:asciiTheme="majorBidi" w:hAnsiTheme="majorBidi" w:cstheme="majorBidi"/>
          <w:color w:val="000000"/>
          <w:szCs w:val="22"/>
          <w:u w:color="FFFFFF"/>
        </w:rPr>
        <w:t xml:space="preserve">correctie </w:t>
      </w:r>
      <w:r w:rsidR="00B5348C" w:rsidRPr="00D21D8C">
        <w:rPr>
          <w:rFonts w:asciiTheme="majorBidi" w:hAnsiTheme="majorBidi" w:cstheme="majorBidi"/>
          <w:color w:val="000000"/>
          <w:szCs w:val="22"/>
          <w:u w:color="FFFFFF"/>
        </w:rPr>
        <w:t xml:space="preserve">van de farmacokinetische blootstellingsparameters van </w:t>
      </w:r>
      <w:r w:rsidRPr="00D21D8C">
        <w:rPr>
          <w:rFonts w:asciiTheme="majorBidi" w:hAnsiTheme="majorBidi" w:cstheme="majorBidi"/>
          <w:color w:val="000000"/>
          <w:szCs w:val="22"/>
          <w:u w:color="FFFFFF"/>
        </w:rPr>
        <w:t xml:space="preserve">pirtobrutinib met fu geen klinisch </w:t>
      </w:r>
      <w:r w:rsidR="00B5348C" w:rsidRPr="00D21D8C">
        <w:rPr>
          <w:rFonts w:asciiTheme="majorBidi" w:hAnsiTheme="majorBidi" w:cstheme="majorBidi"/>
          <w:color w:val="000000"/>
          <w:szCs w:val="22"/>
          <w:u w:color="FFFFFF"/>
        </w:rPr>
        <w:t xml:space="preserve">significant </w:t>
      </w:r>
      <w:r w:rsidRPr="00D21D8C">
        <w:rPr>
          <w:rFonts w:asciiTheme="majorBidi" w:hAnsiTheme="majorBidi" w:cstheme="majorBidi"/>
          <w:color w:val="000000"/>
          <w:szCs w:val="22"/>
          <w:u w:color="FFFFFF"/>
        </w:rPr>
        <w:t xml:space="preserve">verschil waargenomen in de ongebonden </w:t>
      </w:r>
      <w:r w:rsidR="00B5348C" w:rsidRPr="00D21D8C">
        <w:rPr>
          <w:rFonts w:asciiTheme="majorBidi" w:hAnsiTheme="majorBidi" w:cstheme="majorBidi"/>
          <w:color w:val="000000"/>
          <w:szCs w:val="22"/>
          <w:u w:color="FFFFFF"/>
        </w:rPr>
        <w:t xml:space="preserve">farmacokinetische </w:t>
      </w:r>
      <w:r w:rsidRPr="00D21D8C">
        <w:rPr>
          <w:rFonts w:asciiTheme="majorBidi" w:hAnsiTheme="majorBidi" w:cstheme="majorBidi"/>
          <w:color w:val="000000"/>
          <w:szCs w:val="22"/>
          <w:u w:color="FFFFFF"/>
        </w:rPr>
        <w:t>blootstellingsparameters</w:t>
      </w:r>
      <w:r w:rsidR="00B5348C" w:rsidRPr="00D21D8C">
        <w:rPr>
          <w:rFonts w:asciiTheme="majorBidi" w:hAnsiTheme="majorBidi" w:cstheme="majorBidi"/>
          <w:color w:val="000000"/>
          <w:szCs w:val="22"/>
          <w:u w:color="FFFFFF"/>
        </w:rPr>
        <w:t xml:space="preserve"> van pirtobrutinib</w:t>
      </w:r>
      <w:r w:rsidRPr="00D21D8C">
        <w:rPr>
          <w:rFonts w:asciiTheme="majorBidi" w:hAnsiTheme="majorBidi" w:cstheme="majorBidi"/>
          <w:color w:val="000000"/>
          <w:szCs w:val="22"/>
          <w:u w:color="FFFFFF"/>
        </w:rPr>
        <w:t xml:space="preserve"> (AUCu en C</w:t>
      </w:r>
      <w:r w:rsidRPr="00D21D8C">
        <w:rPr>
          <w:rFonts w:asciiTheme="majorBidi" w:hAnsiTheme="majorBidi" w:cstheme="majorBidi"/>
          <w:color w:val="000000"/>
          <w:szCs w:val="22"/>
          <w:u w:color="FFFFFF"/>
          <w:vertAlign w:val="subscript"/>
        </w:rPr>
        <w:t>max</w:t>
      </w:r>
      <w:r w:rsidRPr="00D21D8C">
        <w:rPr>
          <w:rFonts w:asciiTheme="majorBidi" w:hAnsiTheme="majorBidi" w:cstheme="majorBidi"/>
          <w:color w:val="000000"/>
          <w:szCs w:val="22"/>
          <w:u w:color="FFFFFF"/>
        </w:rPr>
        <w:t>,</w:t>
      </w:r>
      <w:r w:rsidR="00AD017F" w:rsidRPr="00D21D8C">
        <w:rPr>
          <w:rFonts w:asciiTheme="majorBidi" w:hAnsiTheme="majorBidi" w:cstheme="majorBidi"/>
          <w:color w:val="000000"/>
          <w:szCs w:val="22"/>
          <w:u w:color="FFFFFF"/>
        </w:rPr>
        <w:t>h</w:t>
      </w:r>
      <w:r w:rsidRPr="00D21D8C">
        <w:rPr>
          <w:rFonts w:asciiTheme="majorBidi" w:hAnsiTheme="majorBidi" w:cstheme="majorBidi"/>
          <w:color w:val="000000"/>
          <w:szCs w:val="22"/>
          <w:u w:color="FFFFFF"/>
        </w:rPr>
        <w:t xml:space="preserve">) tussen proefpersonen met enige mate van leverfunctiestoornis en </w:t>
      </w:r>
      <w:r w:rsidR="00DE38A3" w:rsidRPr="00D21D8C">
        <w:rPr>
          <w:rFonts w:asciiTheme="majorBidi" w:hAnsiTheme="majorBidi" w:cstheme="majorBidi"/>
          <w:color w:val="000000"/>
          <w:szCs w:val="22"/>
          <w:u w:color="FFFFFF"/>
        </w:rPr>
        <w:t xml:space="preserve">proefpersonen met </w:t>
      </w:r>
      <w:r w:rsidRPr="00D21D8C">
        <w:rPr>
          <w:rFonts w:asciiTheme="majorBidi" w:hAnsiTheme="majorBidi" w:cstheme="majorBidi"/>
          <w:color w:val="000000"/>
          <w:szCs w:val="22"/>
          <w:u w:color="FFFFFF"/>
        </w:rPr>
        <w:t>een normale leverfunctie.</w:t>
      </w:r>
    </w:p>
    <w:p w14:paraId="750ABE39" w14:textId="77777777" w:rsidR="001A274F" w:rsidRPr="00D21D8C" w:rsidRDefault="001A274F">
      <w:pPr>
        <w:spacing w:line="240" w:lineRule="auto"/>
        <w:rPr>
          <w:rFonts w:asciiTheme="majorBidi" w:hAnsiTheme="majorBidi" w:cstheme="majorBidi"/>
          <w:iCs/>
          <w:szCs w:val="22"/>
          <w:u w:val="single"/>
        </w:rPr>
      </w:pPr>
    </w:p>
    <w:p w14:paraId="38309721" w14:textId="77777777"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i/>
          <w:iCs/>
          <w:color w:val="000000"/>
          <w:szCs w:val="22"/>
          <w:u w:color="FFFFFF"/>
        </w:rPr>
        <w:t>Pediatrische patiënten</w:t>
      </w:r>
    </w:p>
    <w:p w14:paraId="3B22AD1F" w14:textId="77777777" w:rsidR="001A274F" w:rsidRPr="00D21D8C" w:rsidRDefault="00DA418A">
      <w:pPr>
        <w:keepNext/>
        <w:spacing w:line="240" w:lineRule="auto"/>
        <w:rPr>
          <w:rFonts w:asciiTheme="majorBidi" w:hAnsiTheme="majorBidi" w:cstheme="majorBidi"/>
          <w:iCs/>
          <w:szCs w:val="22"/>
        </w:rPr>
      </w:pPr>
      <w:r w:rsidRPr="00D21D8C">
        <w:rPr>
          <w:rFonts w:asciiTheme="majorBidi" w:hAnsiTheme="majorBidi" w:cstheme="majorBidi"/>
          <w:iCs/>
          <w:color w:val="000000"/>
          <w:szCs w:val="22"/>
          <w:u w:color="FFFFFF"/>
        </w:rPr>
        <w:t>Er zijn geen farmacokinetische onderzoeken uitgevoerd met pirtobrutinib bij patiënten jonger dan 18 jaar.</w:t>
      </w:r>
    </w:p>
    <w:p w14:paraId="3C5859D3" w14:textId="77777777" w:rsidR="001A274F" w:rsidRPr="00D21D8C" w:rsidRDefault="001A274F">
      <w:pPr>
        <w:spacing w:line="240" w:lineRule="auto"/>
        <w:ind w:right="-2"/>
        <w:rPr>
          <w:rFonts w:asciiTheme="majorBidi" w:hAnsiTheme="majorBidi" w:cstheme="majorBidi"/>
          <w:iCs/>
          <w:szCs w:val="22"/>
        </w:rPr>
      </w:pPr>
    </w:p>
    <w:p w14:paraId="247ACC25" w14:textId="67C9DC8A" w:rsidR="001A274F" w:rsidRPr="00D21D8C" w:rsidRDefault="00DA418A">
      <w:pPr>
        <w:keepNext/>
        <w:spacing w:line="240" w:lineRule="auto"/>
        <w:ind w:left="567" w:hanging="567"/>
        <w:outlineLvl w:val="0"/>
        <w:rPr>
          <w:rFonts w:asciiTheme="majorBidi" w:hAnsiTheme="majorBidi" w:cstheme="majorBidi"/>
          <w:szCs w:val="22"/>
        </w:rPr>
      </w:pPr>
      <w:r w:rsidRPr="00D21D8C">
        <w:rPr>
          <w:rFonts w:asciiTheme="majorBidi" w:hAnsiTheme="majorBidi" w:cstheme="majorBidi"/>
          <w:b/>
          <w:bCs/>
          <w:color w:val="000000"/>
          <w:szCs w:val="22"/>
          <w:u w:color="FFFFFF"/>
        </w:rPr>
        <w:t>5.3</w:t>
      </w:r>
      <w:r w:rsidRPr="00D21D8C">
        <w:rPr>
          <w:rFonts w:asciiTheme="majorBidi" w:hAnsiTheme="majorBidi" w:cstheme="majorBidi"/>
          <w:b/>
          <w:bCs/>
          <w:color w:val="000000"/>
          <w:szCs w:val="22"/>
          <w:u w:color="FFFFFF"/>
        </w:rPr>
        <w:tab/>
        <w:t>Gegevens uit het preklinisch veiligheidsonderzoek</w:t>
      </w:r>
      <w:r w:rsidR="0011019E" w:rsidRPr="00D21D8C">
        <w:rPr>
          <w:rFonts w:asciiTheme="majorBidi" w:hAnsiTheme="majorBidi" w:cstheme="majorBidi"/>
          <w:b/>
          <w:bCs/>
          <w:color w:val="000000"/>
          <w:szCs w:val="22"/>
          <w:u w:color="FFFFFF"/>
        </w:rPr>
        <w:fldChar w:fldCharType="begin"/>
      </w:r>
      <w:r w:rsidR="0011019E" w:rsidRPr="00D21D8C">
        <w:rPr>
          <w:rFonts w:asciiTheme="majorBidi" w:hAnsiTheme="majorBidi" w:cstheme="majorBidi"/>
          <w:b/>
          <w:bCs/>
          <w:color w:val="000000"/>
          <w:szCs w:val="22"/>
          <w:u w:color="FFFFFF"/>
        </w:rPr>
        <w:instrText xml:space="preserve"> DOCVARIABLE vault_nd_03f451d6-18ad-48e9-97cc-3f31e3035e3c \* MERGEFORMAT </w:instrText>
      </w:r>
      <w:r w:rsidR="0011019E" w:rsidRPr="00D21D8C">
        <w:rPr>
          <w:rFonts w:asciiTheme="majorBidi" w:hAnsiTheme="majorBidi" w:cstheme="majorBidi"/>
          <w:b/>
          <w:bCs/>
          <w:color w:val="000000"/>
          <w:szCs w:val="22"/>
          <w:u w:color="FFFFFF"/>
        </w:rPr>
        <w:fldChar w:fldCharType="separate"/>
      </w:r>
      <w:r w:rsidR="0011019E" w:rsidRPr="00D21D8C">
        <w:rPr>
          <w:rFonts w:asciiTheme="majorBidi" w:hAnsiTheme="majorBidi" w:cstheme="majorBidi"/>
          <w:b/>
          <w:bCs/>
          <w:color w:val="000000"/>
          <w:szCs w:val="22"/>
          <w:u w:color="FFFFFF"/>
        </w:rPr>
        <w:t xml:space="preserve"> </w:t>
      </w:r>
      <w:r w:rsidR="0011019E" w:rsidRPr="00D21D8C">
        <w:rPr>
          <w:rFonts w:asciiTheme="majorBidi" w:hAnsiTheme="majorBidi" w:cstheme="majorBidi"/>
          <w:b/>
          <w:bCs/>
          <w:color w:val="000000"/>
          <w:szCs w:val="22"/>
          <w:u w:color="FFFFFF"/>
        </w:rPr>
        <w:fldChar w:fldCharType="end"/>
      </w:r>
    </w:p>
    <w:p w14:paraId="15F66EC7" w14:textId="77777777" w:rsidR="001A274F" w:rsidRPr="00D21D8C" w:rsidRDefault="001A274F">
      <w:pPr>
        <w:keepNext/>
        <w:spacing w:line="240" w:lineRule="auto"/>
        <w:rPr>
          <w:rFonts w:asciiTheme="majorBidi" w:hAnsiTheme="majorBidi" w:cstheme="majorBidi"/>
          <w:szCs w:val="22"/>
        </w:rPr>
      </w:pPr>
    </w:p>
    <w:p w14:paraId="2A0478C6" w14:textId="2D0254C2" w:rsidR="001A274F" w:rsidRPr="00D21D8C" w:rsidRDefault="00DA2528">
      <w:pPr>
        <w:keepNext/>
        <w:spacing w:line="240" w:lineRule="auto"/>
        <w:rPr>
          <w:rFonts w:asciiTheme="majorBidi" w:hAnsiTheme="majorBidi" w:cstheme="majorBidi"/>
          <w:szCs w:val="22"/>
        </w:rPr>
      </w:pPr>
      <w:r w:rsidRPr="00D21D8C">
        <w:rPr>
          <w:rFonts w:asciiTheme="majorBidi" w:hAnsiTheme="majorBidi" w:cstheme="majorBidi"/>
          <w:color w:val="000000"/>
          <w:szCs w:val="22"/>
          <w:u w:color="FFFFFF"/>
        </w:rPr>
        <w:t>In de o</w:t>
      </w:r>
      <w:r w:rsidR="00DA418A" w:rsidRPr="00D21D8C">
        <w:rPr>
          <w:rFonts w:asciiTheme="majorBidi" w:hAnsiTheme="majorBidi" w:cstheme="majorBidi"/>
          <w:color w:val="000000"/>
          <w:szCs w:val="22"/>
          <w:u w:color="FFFFFF"/>
        </w:rPr>
        <w:t xml:space="preserve">nderzoeken met herhaalde dosering </w:t>
      </w:r>
      <w:r w:rsidRPr="00D21D8C">
        <w:rPr>
          <w:rFonts w:asciiTheme="majorBidi" w:hAnsiTheme="majorBidi" w:cstheme="majorBidi"/>
          <w:color w:val="000000"/>
          <w:szCs w:val="22"/>
          <w:u w:color="FFFFFF"/>
        </w:rPr>
        <w:t xml:space="preserve">werden </w:t>
      </w:r>
      <w:r w:rsidR="00DA418A" w:rsidRPr="00D21D8C">
        <w:rPr>
          <w:rFonts w:asciiTheme="majorBidi" w:hAnsiTheme="majorBidi" w:cstheme="majorBidi"/>
          <w:color w:val="000000"/>
          <w:szCs w:val="22"/>
          <w:u w:color="FFFFFF"/>
        </w:rPr>
        <w:t>verminderde T</w:t>
      </w:r>
      <w:r w:rsidR="00DA418A" w:rsidRPr="00D21D8C">
        <w:rPr>
          <w:rFonts w:asciiTheme="majorBidi" w:hAnsiTheme="majorBidi" w:cstheme="majorBidi"/>
          <w:color w:val="000000"/>
          <w:szCs w:val="22"/>
          <w:u w:color="FFFFFF"/>
        </w:rPr>
        <w:noBreakHyphen/>
        <w:t xml:space="preserve">cel-afhankelijke antilichaamrespons bij ratten </w:t>
      </w:r>
      <w:r w:rsidRPr="00D21D8C">
        <w:rPr>
          <w:rFonts w:asciiTheme="majorBidi" w:hAnsiTheme="majorBidi" w:cstheme="majorBidi"/>
          <w:color w:val="000000"/>
          <w:szCs w:val="22"/>
          <w:u w:color="FFFFFF"/>
        </w:rPr>
        <w:t>(</w:t>
      </w:r>
      <w:r w:rsidR="00DA418A" w:rsidRPr="00D21D8C">
        <w:rPr>
          <w:rFonts w:asciiTheme="majorBidi" w:hAnsiTheme="majorBidi" w:cstheme="majorBidi"/>
          <w:color w:val="000000"/>
          <w:szCs w:val="22"/>
          <w:u w:color="FFFFFF"/>
        </w:rPr>
        <w:t>bij 0,69</w:t>
      </w:r>
      <w:r w:rsidR="00DA418A" w:rsidRPr="00D21D8C">
        <w:rPr>
          <w:rFonts w:asciiTheme="majorBidi" w:hAnsiTheme="majorBidi" w:cstheme="majorBidi"/>
          <w:color w:val="000000"/>
          <w:szCs w:val="22"/>
          <w:u w:color="FFFFFF"/>
        </w:rPr>
        <w:noBreakHyphen/>
        <w:t>voudige blootstelling</w:t>
      </w:r>
      <w:r w:rsidR="00D04334" w:rsidRPr="00D21D8C">
        <w:rPr>
          <w:rFonts w:asciiTheme="majorBidi" w:hAnsiTheme="majorBidi" w:cstheme="majorBidi"/>
          <w:color w:val="000000"/>
          <w:szCs w:val="22"/>
          <w:u w:color="FFFFFF"/>
        </w:rPr>
        <w:t xml:space="preserve"> bij de mens</w:t>
      </w:r>
      <w:r w:rsidR="00DA418A" w:rsidRPr="00D21D8C">
        <w:rPr>
          <w:rFonts w:asciiTheme="majorBidi" w:hAnsiTheme="majorBidi" w:cstheme="majorBidi"/>
          <w:color w:val="000000"/>
          <w:szCs w:val="22"/>
          <w:u w:color="FFFFFF"/>
        </w:rPr>
        <w:t xml:space="preserve"> </w:t>
      </w:r>
      <w:r w:rsidR="00AD017F" w:rsidRPr="00D21D8C">
        <w:rPr>
          <w:rFonts w:asciiTheme="majorBidi" w:hAnsiTheme="majorBidi" w:cstheme="majorBidi"/>
          <w:color w:val="000000"/>
          <w:szCs w:val="22"/>
          <w:u w:color="FFFFFF"/>
        </w:rPr>
        <w:t xml:space="preserve">bij </w:t>
      </w:r>
      <w:r w:rsidR="00DA418A" w:rsidRPr="00D21D8C">
        <w:rPr>
          <w:rFonts w:asciiTheme="majorBidi" w:hAnsiTheme="majorBidi" w:cstheme="majorBidi"/>
          <w:color w:val="000000"/>
          <w:szCs w:val="22"/>
          <w:u w:color="FFFFFF"/>
        </w:rPr>
        <w:t>de aanbevolen dosis van 200 mg gebaseerd op de AUC</w:t>
      </w:r>
      <w:r w:rsidRPr="00D21D8C">
        <w:rPr>
          <w:rFonts w:asciiTheme="majorBidi" w:hAnsiTheme="majorBidi" w:cstheme="majorBidi"/>
          <w:color w:val="000000"/>
          <w:szCs w:val="22"/>
          <w:u w:color="FFFFFF"/>
        </w:rPr>
        <w:t>)</w:t>
      </w:r>
      <w:r w:rsidR="00DA418A" w:rsidRPr="00D21D8C">
        <w:rPr>
          <w:rFonts w:asciiTheme="majorBidi" w:hAnsiTheme="majorBidi" w:cstheme="majorBidi"/>
          <w:color w:val="000000"/>
          <w:szCs w:val="22"/>
          <w:u w:color="FFFFFF"/>
        </w:rPr>
        <w:t xml:space="preserve"> en minimale tot </w:t>
      </w:r>
      <w:r w:rsidR="008F6DD8" w:rsidRPr="00D21D8C">
        <w:rPr>
          <w:rFonts w:asciiTheme="majorBidi" w:hAnsiTheme="majorBidi" w:cstheme="majorBidi"/>
          <w:color w:val="000000"/>
          <w:szCs w:val="22"/>
          <w:u w:color="FFFFFF"/>
        </w:rPr>
        <w:t xml:space="preserve">lichte </w:t>
      </w:r>
      <w:r w:rsidR="00DA418A" w:rsidRPr="00D21D8C">
        <w:rPr>
          <w:rFonts w:asciiTheme="majorBidi" w:hAnsiTheme="majorBidi" w:cstheme="majorBidi"/>
          <w:color w:val="000000"/>
          <w:szCs w:val="22"/>
          <w:u w:color="FFFFFF"/>
        </w:rPr>
        <w:t>la</w:t>
      </w:r>
      <w:r w:rsidR="000843EC" w:rsidRPr="00D21D8C">
        <w:rPr>
          <w:rFonts w:asciiTheme="majorBidi" w:hAnsiTheme="majorBidi" w:cstheme="majorBidi"/>
          <w:color w:val="000000"/>
          <w:szCs w:val="22"/>
          <w:u w:color="FFFFFF"/>
        </w:rPr>
        <w:t>e</w:t>
      </w:r>
      <w:r w:rsidR="00DA418A" w:rsidRPr="00D21D8C">
        <w:rPr>
          <w:rFonts w:asciiTheme="majorBidi" w:hAnsiTheme="majorBidi" w:cstheme="majorBidi"/>
          <w:color w:val="000000"/>
          <w:szCs w:val="22"/>
          <w:u w:color="FFFFFF"/>
        </w:rPr>
        <w:t xml:space="preserve">sies van het hoornvlies bij honden </w:t>
      </w:r>
      <w:r w:rsidRPr="00D21D8C">
        <w:rPr>
          <w:rFonts w:asciiTheme="majorBidi" w:hAnsiTheme="majorBidi" w:cstheme="majorBidi"/>
          <w:color w:val="000000"/>
          <w:szCs w:val="22"/>
          <w:u w:color="FFFFFF"/>
        </w:rPr>
        <w:t>(</w:t>
      </w:r>
      <w:r w:rsidR="00DA418A" w:rsidRPr="00D21D8C">
        <w:rPr>
          <w:rFonts w:asciiTheme="majorBidi" w:hAnsiTheme="majorBidi" w:cstheme="majorBidi"/>
          <w:color w:val="000000"/>
          <w:szCs w:val="22"/>
          <w:u w:color="FFFFFF"/>
        </w:rPr>
        <w:t>bij</w:t>
      </w:r>
      <w:r w:rsidR="00E35201" w:rsidRPr="00D21D8C">
        <w:rPr>
          <w:rFonts w:asciiTheme="majorBidi" w:hAnsiTheme="majorBidi" w:cstheme="majorBidi"/>
          <w:color w:val="000000"/>
          <w:szCs w:val="22"/>
          <w:u w:color="FFFFFF"/>
        </w:rPr>
        <w:t xml:space="preserve"> een</w:t>
      </w:r>
      <w:r w:rsidR="00DA418A" w:rsidRPr="00D21D8C">
        <w:rPr>
          <w:rFonts w:asciiTheme="majorBidi" w:hAnsiTheme="majorBidi" w:cstheme="majorBidi"/>
          <w:color w:val="000000"/>
          <w:szCs w:val="22"/>
          <w:u w:color="FFFFFF"/>
        </w:rPr>
        <w:t xml:space="preserve"> 0,42</w:t>
      </w:r>
      <w:r w:rsidR="00DA418A" w:rsidRPr="00D21D8C">
        <w:rPr>
          <w:rFonts w:asciiTheme="majorBidi" w:hAnsiTheme="majorBidi" w:cstheme="majorBidi"/>
          <w:color w:val="000000"/>
          <w:szCs w:val="22"/>
          <w:u w:color="FFFFFF"/>
        </w:rPr>
        <w:noBreakHyphen/>
        <w:t>voudige blootstelling</w:t>
      </w:r>
      <w:r w:rsidR="00D04334" w:rsidRPr="00D21D8C">
        <w:rPr>
          <w:rFonts w:asciiTheme="majorBidi" w:hAnsiTheme="majorBidi" w:cstheme="majorBidi"/>
          <w:color w:val="000000"/>
          <w:szCs w:val="22"/>
          <w:u w:color="FFFFFF"/>
        </w:rPr>
        <w:t xml:space="preserve"> bij de mens</w:t>
      </w:r>
      <w:r w:rsidRPr="00D21D8C">
        <w:rPr>
          <w:rFonts w:asciiTheme="majorBidi" w:hAnsiTheme="majorBidi" w:cstheme="majorBidi"/>
          <w:color w:val="000000"/>
          <w:szCs w:val="22"/>
          <w:u w:color="FFFFFF"/>
        </w:rPr>
        <w:t>) waargenomen</w:t>
      </w:r>
      <w:r w:rsidR="00DA418A" w:rsidRPr="00D21D8C">
        <w:rPr>
          <w:rFonts w:asciiTheme="majorBidi" w:hAnsiTheme="majorBidi" w:cstheme="majorBidi"/>
          <w:color w:val="000000"/>
          <w:szCs w:val="22"/>
          <w:u w:color="FFFFFF"/>
        </w:rPr>
        <w:t>.</w:t>
      </w:r>
      <w:r w:rsidR="00A56051" w:rsidRPr="00D21D8C">
        <w:t xml:space="preserve"> </w:t>
      </w:r>
      <w:r w:rsidR="003F3089" w:rsidRPr="00D21D8C">
        <w:rPr>
          <w:rFonts w:asciiTheme="majorBidi" w:hAnsiTheme="majorBidi" w:cstheme="majorBidi"/>
          <w:color w:val="000000"/>
          <w:szCs w:val="22"/>
          <w:u w:color="FFFFFF"/>
        </w:rPr>
        <w:t>Lichte</w:t>
      </w:r>
      <w:r w:rsidR="00A56051" w:rsidRPr="00D21D8C">
        <w:rPr>
          <w:rFonts w:asciiTheme="majorBidi" w:hAnsiTheme="majorBidi" w:cstheme="majorBidi"/>
          <w:color w:val="000000"/>
          <w:szCs w:val="22"/>
          <w:u w:color="FFFFFF"/>
        </w:rPr>
        <w:t xml:space="preserve"> tot matige vasculaire necrose en vasculaire/perivasculaire ontsteking in grote longbloedvaten werden alleen waargenomen bij ratten. Deze effecten traden op bij klinisch relevante blootstellingsniveaus.</w:t>
      </w:r>
    </w:p>
    <w:p w14:paraId="089A0B6A" w14:textId="77777777" w:rsidR="001A274F" w:rsidRPr="00D21D8C" w:rsidRDefault="001A274F">
      <w:pPr>
        <w:spacing w:line="240" w:lineRule="auto"/>
        <w:rPr>
          <w:rFonts w:asciiTheme="majorBidi" w:hAnsiTheme="majorBidi" w:cstheme="majorBidi"/>
          <w:szCs w:val="22"/>
        </w:rPr>
      </w:pPr>
    </w:p>
    <w:p w14:paraId="18B49FED" w14:textId="77777777"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val="single"/>
        </w:rPr>
        <w:t>Genotoxiciteit/carcinogeniciteit</w:t>
      </w:r>
    </w:p>
    <w:p w14:paraId="64680656" w14:textId="77777777" w:rsidR="001A274F" w:rsidRPr="00D21D8C" w:rsidRDefault="001A274F">
      <w:pPr>
        <w:keepNext/>
        <w:spacing w:line="240" w:lineRule="auto"/>
        <w:rPr>
          <w:rFonts w:asciiTheme="majorBidi" w:hAnsiTheme="majorBidi" w:cstheme="majorBidi"/>
          <w:szCs w:val="22"/>
          <w:u w:val="single"/>
        </w:rPr>
      </w:pPr>
    </w:p>
    <w:p w14:paraId="05C7F6C6" w14:textId="3727A1C0"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color="FFFFFF"/>
        </w:rPr>
        <w:t xml:space="preserve">Pirtobrutinib was niet mutageen bij een </w:t>
      </w:r>
      <w:r w:rsidR="00C054B7" w:rsidRPr="00D21D8C">
        <w:rPr>
          <w:rFonts w:asciiTheme="majorBidi" w:hAnsiTheme="majorBidi" w:cstheme="majorBidi"/>
          <w:color w:val="000000"/>
          <w:szCs w:val="22"/>
          <w:u w:color="FFFFFF"/>
        </w:rPr>
        <w:t>bacteriële</w:t>
      </w:r>
      <w:r w:rsidRPr="00D21D8C">
        <w:rPr>
          <w:rFonts w:asciiTheme="majorBidi" w:hAnsiTheme="majorBidi" w:cstheme="majorBidi"/>
          <w:color w:val="000000"/>
          <w:szCs w:val="22"/>
          <w:u w:color="FFFFFF"/>
        </w:rPr>
        <w:t xml:space="preserve"> mutageniteit</w:t>
      </w:r>
      <w:r w:rsidR="00E35201" w:rsidRPr="00D21D8C">
        <w:rPr>
          <w:rFonts w:asciiTheme="majorBidi" w:hAnsiTheme="majorBidi" w:cstheme="majorBidi"/>
          <w:color w:val="000000"/>
          <w:szCs w:val="22"/>
          <w:u w:color="FFFFFF"/>
        </w:rPr>
        <w:t>stest</w:t>
      </w:r>
      <w:r w:rsidRPr="00D21D8C">
        <w:rPr>
          <w:rFonts w:asciiTheme="majorBidi" w:hAnsiTheme="majorBidi" w:cstheme="majorBidi"/>
          <w:color w:val="000000"/>
          <w:szCs w:val="22"/>
          <w:u w:color="FFFFFF"/>
        </w:rPr>
        <w:t xml:space="preserve"> (Ames). Pirtobrutinib was aneugeen in </w:t>
      </w:r>
      <w:r w:rsidR="00243210" w:rsidRPr="00D21D8C">
        <w:rPr>
          <w:rFonts w:asciiTheme="majorBidi" w:hAnsiTheme="majorBidi" w:cstheme="majorBidi"/>
          <w:color w:val="000000"/>
          <w:szCs w:val="22"/>
          <w:u w:color="FFFFFF"/>
        </w:rPr>
        <w:t xml:space="preserve">twee </w:t>
      </w:r>
      <w:r w:rsidRPr="00D21D8C">
        <w:rPr>
          <w:rFonts w:asciiTheme="majorBidi" w:hAnsiTheme="majorBidi" w:cstheme="majorBidi"/>
          <w:color w:val="000000"/>
          <w:szCs w:val="22"/>
          <w:u w:color="FFFFFF"/>
        </w:rPr>
        <w:t xml:space="preserve">micronucleustesten </w:t>
      </w:r>
      <w:r w:rsidR="00C054B7" w:rsidRPr="00D21D8C">
        <w:rPr>
          <w:rFonts w:asciiTheme="majorBidi" w:hAnsiTheme="majorBidi" w:cstheme="majorBidi"/>
          <w:i/>
          <w:iCs/>
          <w:color w:val="000000"/>
          <w:szCs w:val="22"/>
          <w:u w:color="FFFFFF"/>
        </w:rPr>
        <w:t>in vitro</w:t>
      </w:r>
      <w:r w:rsidR="00C054B7" w:rsidRPr="00D21D8C">
        <w:rPr>
          <w:rFonts w:asciiTheme="majorBidi" w:hAnsiTheme="majorBidi" w:cstheme="majorBidi"/>
          <w:color w:val="000000"/>
          <w:szCs w:val="22"/>
          <w:u w:color="FFFFFF"/>
        </w:rPr>
        <w:t xml:space="preserve"> </w:t>
      </w:r>
      <w:r w:rsidRPr="00D21D8C">
        <w:rPr>
          <w:rFonts w:asciiTheme="majorBidi" w:hAnsiTheme="majorBidi" w:cstheme="majorBidi"/>
          <w:color w:val="000000"/>
          <w:szCs w:val="22"/>
          <w:u w:color="FFFFFF"/>
        </w:rPr>
        <w:t xml:space="preserve">met menselijke perifere bloedlymfocyten. Pirtobrutinib had geen effect in een micronucleustest met rattenbeenmerg </w:t>
      </w:r>
      <w:r w:rsidR="00C054B7" w:rsidRPr="00D21D8C">
        <w:rPr>
          <w:rFonts w:asciiTheme="majorBidi" w:hAnsiTheme="majorBidi" w:cstheme="majorBidi"/>
          <w:i/>
          <w:iCs/>
          <w:color w:val="000000"/>
          <w:szCs w:val="22"/>
          <w:u w:color="FFFFFF"/>
        </w:rPr>
        <w:t>in vivo</w:t>
      </w:r>
      <w:r w:rsidR="00C054B7" w:rsidRPr="00D21D8C">
        <w:rPr>
          <w:rFonts w:asciiTheme="majorBidi" w:hAnsiTheme="majorBidi" w:cstheme="majorBidi"/>
          <w:color w:val="000000"/>
          <w:szCs w:val="22"/>
          <w:u w:color="FFFFFF"/>
        </w:rPr>
        <w:t xml:space="preserve"> </w:t>
      </w:r>
      <w:r w:rsidRPr="00D21D8C">
        <w:rPr>
          <w:rFonts w:asciiTheme="majorBidi" w:hAnsiTheme="majorBidi" w:cstheme="majorBidi"/>
          <w:color w:val="000000"/>
          <w:szCs w:val="22"/>
          <w:u w:color="FFFFFF"/>
        </w:rPr>
        <w:t>bij doses tot 2.000 mg/kg</w:t>
      </w:r>
      <w:r w:rsidR="007F50B5" w:rsidRPr="00D21D8C">
        <w:rPr>
          <w:rFonts w:asciiTheme="majorBidi" w:hAnsiTheme="majorBidi" w:cstheme="majorBidi"/>
          <w:color w:val="000000"/>
          <w:szCs w:val="22"/>
          <w:u w:color="FFFFFF"/>
        </w:rPr>
        <w:t xml:space="preserve"> (enkele dosis)</w:t>
      </w:r>
      <w:r w:rsidRPr="00D21D8C">
        <w:rPr>
          <w:rFonts w:asciiTheme="majorBidi" w:hAnsiTheme="majorBidi" w:cstheme="majorBidi"/>
          <w:color w:val="000000"/>
          <w:szCs w:val="22"/>
          <w:u w:color="FFFFFF"/>
        </w:rPr>
        <w:t xml:space="preserve">, </w:t>
      </w:r>
      <w:r w:rsidR="005D752E" w:rsidRPr="00D21D8C">
        <w:rPr>
          <w:rFonts w:asciiTheme="majorBidi" w:hAnsiTheme="majorBidi" w:cstheme="majorBidi"/>
          <w:color w:val="000000"/>
          <w:szCs w:val="22"/>
          <w:u w:color="FFFFFF"/>
        </w:rPr>
        <w:t xml:space="preserve">wat </w:t>
      </w:r>
      <w:r w:rsidRPr="00D21D8C">
        <w:rPr>
          <w:rFonts w:asciiTheme="majorBidi" w:hAnsiTheme="majorBidi" w:cstheme="majorBidi"/>
          <w:color w:val="000000"/>
          <w:szCs w:val="22"/>
          <w:u w:color="FFFFFF"/>
        </w:rPr>
        <w:t>ongeveer</w:t>
      </w:r>
      <w:r w:rsidR="00E35201" w:rsidRPr="00D21D8C">
        <w:rPr>
          <w:rFonts w:asciiTheme="majorBidi" w:hAnsiTheme="majorBidi" w:cstheme="majorBidi"/>
          <w:color w:val="000000"/>
          <w:szCs w:val="22"/>
          <w:u w:color="FFFFFF"/>
        </w:rPr>
        <w:t xml:space="preserve"> een</w:t>
      </w:r>
      <w:r w:rsidRPr="00D21D8C">
        <w:rPr>
          <w:rFonts w:asciiTheme="majorBidi" w:hAnsiTheme="majorBidi" w:cstheme="majorBidi"/>
          <w:color w:val="000000"/>
          <w:szCs w:val="22"/>
          <w:u w:color="FFFFFF"/>
        </w:rPr>
        <w:t xml:space="preserve"> </w:t>
      </w:r>
      <w:r w:rsidR="007F50B5" w:rsidRPr="00D21D8C">
        <w:rPr>
          <w:rFonts w:asciiTheme="majorBidi" w:hAnsiTheme="majorBidi" w:cstheme="majorBidi"/>
          <w:color w:val="000000"/>
          <w:szCs w:val="22"/>
          <w:u w:color="FFFFFF"/>
        </w:rPr>
        <w:t>11</w:t>
      </w:r>
      <w:r w:rsidR="002E53AF" w:rsidRPr="00D21D8C">
        <w:rPr>
          <w:rFonts w:asciiTheme="majorBidi" w:hAnsiTheme="majorBidi" w:cstheme="majorBidi"/>
          <w:color w:val="000000"/>
          <w:szCs w:val="22"/>
          <w:u w:color="FFFFFF"/>
        </w:rPr>
        <w:t> keer</w:t>
      </w:r>
      <w:r w:rsidRPr="00D21D8C">
        <w:rPr>
          <w:rFonts w:asciiTheme="majorBidi" w:hAnsiTheme="majorBidi" w:cstheme="majorBidi"/>
          <w:color w:val="000000"/>
          <w:szCs w:val="22"/>
          <w:u w:color="FFFFFF"/>
        </w:rPr>
        <w:t xml:space="preserve"> hogere blootstelling</w:t>
      </w:r>
      <w:r w:rsidR="007F50B5" w:rsidRPr="00D21D8C">
        <w:rPr>
          <w:rFonts w:asciiTheme="majorBidi" w:hAnsiTheme="majorBidi" w:cstheme="majorBidi"/>
          <w:color w:val="000000"/>
          <w:szCs w:val="22"/>
          <w:u w:color="FFFFFF"/>
        </w:rPr>
        <w:t xml:space="preserve"> is</w:t>
      </w:r>
      <w:r w:rsidRPr="00D21D8C">
        <w:rPr>
          <w:rFonts w:asciiTheme="majorBidi" w:hAnsiTheme="majorBidi" w:cstheme="majorBidi"/>
          <w:color w:val="000000"/>
          <w:szCs w:val="22"/>
          <w:u w:color="FFFFFF"/>
        </w:rPr>
        <w:t xml:space="preserve"> (</w:t>
      </w:r>
      <w:r w:rsidR="007F50B5" w:rsidRPr="00D21D8C">
        <w:rPr>
          <w:rFonts w:asciiTheme="majorBidi" w:hAnsiTheme="majorBidi" w:cstheme="majorBidi"/>
          <w:color w:val="000000"/>
          <w:szCs w:val="22"/>
          <w:u w:color="FFFFFF"/>
        </w:rPr>
        <w:t xml:space="preserve">rekening houdend met de </w:t>
      </w:r>
      <w:r w:rsidRPr="00D21D8C">
        <w:rPr>
          <w:rFonts w:asciiTheme="majorBidi" w:hAnsiTheme="majorBidi" w:cstheme="majorBidi"/>
          <w:color w:val="000000"/>
          <w:szCs w:val="22"/>
          <w:u w:color="FFFFFF"/>
        </w:rPr>
        <w:t>ongebonden C</w:t>
      </w:r>
      <w:r w:rsidRPr="00D21D8C">
        <w:rPr>
          <w:rFonts w:asciiTheme="majorBidi" w:hAnsiTheme="majorBidi" w:cstheme="majorBidi"/>
          <w:color w:val="000000"/>
          <w:szCs w:val="22"/>
          <w:u w:color="FFFFFF"/>
          <w:vertAlign w:val="subscript"/>
        </w:rPr>
        <w:t>max</w:t>
      </w:r>
      <w:r w:rsidR="00AC4D9B" w:rsidRPr="00D21D8C">
        <w:rPr>
          <w:rFonts w:asciiTheme="majorBidi" w:hAnsiTheme="majorBidi" w:cstheme="majorBidi"/>
          <w:color w:val="000000"/>
          <w:szCs w:val="22"/>
          <w:u w:color="FFFFFF"/>
        </w:rPr>
        <w:noBreakHyphen/>
      </w:r>
      <w:r w:rsidR="007F50B5" w:rsidRPr="00D21D8C">
        <w:rPr>
          <w:rFonts w:asciiTheme="majorBidi" w:hAnsiTheme="majorBidi" w:cstheme="majorBidi"/>
          <w:color w:val="000000"/>
          <w:szCs w:val="22"/>
          <w:u w:color="FFFFFF"/>
        </w:rPr>
        <w:t>waarde bij vrouwelijk</w:t>
      </w:r>
      <w:r w:rsidR="005D752E" w:rsidRPr="00D21D8C">
        <w:rPr>
          <w:rFonts w:asciiTheme="majorBidi" w:hAnsiTheme="majorBidi" w:cstheme="majorBidi"/>
          <w:color w:val="000000"/>
          <w:szCs w:val="22"/>
          <w:u w:color="FFFFFF"/>
        </w:rPr>
        <w:t>e</w:t>
      </w:r>
      <w:r w:rsidR="007F50B5" w:rsidRPr="00D21D8C">
        <w:rPr>
          <w:rFonts w:asciiTheme="majorBidi" w:hAnsiTheme="majorBidi" w:cstheme="majorBidi"/>
          <w:color w:val="000000"/>
          <w:szCs w:val="22"/>
          <w:u w:color="FFFFFF"/>
        </w:rPr>
        <w:t xml:space="preserve"> dieren</w:t>
      </w:r>
      <w:r w:rsidRPr="00D21D8C">
        <w:rPr>
          <w:rFonts w:asciiTheme="majorBidi" w:hAnsiTheme="majorBidi" w:cstheme="majorBidi"/>
          <w:color w:val="000000"/>
          <w:szCs w:val="22"/>
          <w:u w:color="FFFFFF"/>
        </w:rPr>
        <w:t xml:space="preserve">) dan </w:t>
      </w:r>
      <w:r w:rsidR="007B2A04" w:rsidRPr="00D21D8C">
        <w:rPr>
          <w:rFonts w:asciiTheme="majorBidi" w:hAnsiTheme="majorBidi" w:cstheme="majorBidi"/>
          <w:color w:val="000000"/>
          <w:szCs w:val="22"/>
          <w:u w:color="FFFFFF"/>
        </w:rPr>
        <w:t xml:space="preserve">de </w:t>
      </w:r>
      <w:r w:rsidRPr="00D21D8C">
        <w:rPr>
          <w:rFonts w:asciiTheme="majorBidi" w:hAnsiTheme="majorBidi" w:cstheme="majorBidi"/>
          <w:color w:val="000000"/>
          <w:szCs w:val="22"/>
          <w:u w:color="FFFFFF"/>
        </w:rPr>
        <w:t>blootstelling</w:t>
      </w:r>
      <w:r w:rsidR="00D04334" w:rsidRPr="00D21D8C">
        <w:rPr>
          <w:rFonts w:asciiTheme="majorBidi" w:hAnsiTheme="majorBidi" w:cstheme="majorBidi"/>
          <w:color w:val="000000"/>
          <w:szCs w:val="22"/>
          <w:u w:color="FFFFFF"/>
        </w:rPr>
        <w:t xml:space="preserve"> bij de mens</w:t>
      </w:r>
      <w:r w:rsidRPr="00D21D8C">
        <w:rPr>
          <w:rFonts w:asciiTheme="majorBidi" w:hAnsiTheme="majorBidi" w:cstheme="majorBidi"/>
          <w:color w:val="000000"/>
          <w:szCs w:val="22"/>
          <w:u w:color="FFFFFF"/>
        </w:rPr>
        <w:t xml:space="preserve"> bij 200 mg.</w:t>
      </w:r>
    </w:p>
    <w:p w14:paraId="6352C220" w14:textId="77777777" w:rsidR="001A274F" w:rsidRPr="00D21D8C" w:rsidRDefault="001A274F">
      <w:pPr>
        <w:spacing w:line="240" w:lineRule="auto"/>
        <w:rPr>
          <w:rFonts w:asciiTheme="majorBidi" w:hAnsiTheme="majorBidi" w:cstheme="majorBidi"/>
          <w:szCs w:val="22"/>
        </w:rPr>
      </w:pPr>
    </w:p>
    <w:p w14:paraId="78EE284D" w14:textId="77777777" w:rsidR="001A274F" w:rsidRPr="00D21D8C" w:rsidRDefault="00DA418A">
      <w:pPr>
        <w:spacing w:line="240" w:lineRule="auto"/>
        <w:rPr>
          <w:rFonts w:asciiTheme="majorBidi" w:hAnsiTheme="majorBidi" w:cstheme="majorBidi"/>
          <w:szCs w:val="22"/>
        </w:rPr>
      </w:pPr>
      <w:r w:rsidRPr="00D21D8C">
        <w:rPr>
          <w:rFonts w:asciiTheme="majorBidi" w:hAnsiTheme="majorBidi" w:cstheme="majorBidi"/>
          <w:color w:val="000000"/>
          <w:szCs w:val="22"/>
          <w:u w:color="FFFFFF"/>
        </w:rPr>
        <w:t>Er zijn geen carcinogeniciteitsonderzoeken uitgevoerd met pirtobrutinib.</w:t>
      </w:r>
    </w:p>
    <w:p w14:paraId="638D1AA4" w14:textId="77777777" w:rsidR="001A274F" w:rsidRPr="00D21D8C" w:rsidRDefault="001A274F">
      <w:pPr>
        <w:spacing w:line="240" w:lineRule="auto"/>
        <w:rPr>
          <w:rFonts w:asciiTheme="majorBidi" w:hAnsiTheme="majorBidi" w:cstheme="majorBidi"/>
          <w:szCs w:val="22"/>
        </w:rPr>
      </w:pPr>
    </w:p>
    <w:p w14:paraId="3743EB68" w14:textId="77777777"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val="single"/>
        </w:rPr>
        <w:t>Embryotoxiciteit/teratogeniciteit</w:t>
      </w:r>
    </w:p>
    <w:p w14:paraId="43AAC8DA" w14:textId="77777777" w:rsidR="001A274F" w:rsidRPr="00D21D8C" w:rsidRDefault="001A274F">
      <w:pPr>
        <w:keepNext/>
        <w:spacing w:line="240" w:lineRule="auto"/>
        <w:rPr>
          <w:rFonts w:asciiTheme="majorBidi" w:hAnsiTheme="majorBidi" w:cstheme="majorBidi"/>
          <w:szCs w:val="22"/>
          <w:u w:val="single"/>
        </w:rPr>
      </w:pPr>
    </w:p>
    <w:p w14:paraId="09E82565" w14:textId="02CBC90B"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color="FFFFFF"/>
        </w:rPr>
        <w:t xml:space="preserve">In reproductieonderzoeken met dieren werd pirtobrutinib toegediend aan </w:t>
      </w:r>
      <w:r w:rsidR="00990D4E" w:rsidRPr="00D21D8C">
        <w:rPr>
          <w:rFonts w:asciiTheme="majorBidi" w:hAnsiTheme="majorBidi" w:cstheme="majorBidi"/>
          <w:color w:val="000000"/>
          <w:szCs w:val="22"/>
          <w:u w:color="FFFFFF"/>
        </w:rPr>
        <w:t xml:space="preserve">drachtige </w:t>
      </w:r>
      <w:r w:rsidRPr="00D21D8C">
        <w:rPr>
          <w:rFonts w:asciiTheme="majorBidi" w:hAnsiTheme="majorBidi" w:cstheme="majorBidi"/>
          <w:color w:val="000000"/>
          <w:szCs w:val="22"/>
          <w:u w:color="FFFFFF"/>
        </w:rPr>
        <w:t xml:space="preserve">ratten tijdens </w:t>
      </w:r>
      <w:r w:rsidR="00990D4E" w:rsidRPr="00D21D8C">
        <w:rPr>
          <w:rFonts w:asciiTheme="majorBidi" w:hAnsiTheme="majorBidi" w:cstheme="majorBidi"/>
          <w:color w:val="000000"/>
          <w:szCs w:val="22"/>
          <w:u w:color="FFFFFF"/>
        </w:rPr>
        <w:t xml:space="preserve">de </w:t>
      </w:r>
      <w:r w:rsidRPr="00D21D8C">
        <w:rPr>
          <w:rFonts w:asciiTheme="majorBidi" w:hAnsiTheme="majorBidi" w:cstheme="majorBidi"/>
          <w:color w:val="000000"/>
          <w:szCs w:val="22"/>
          <w:u w:color="FFFFFF"/>
        </w:rPr>
        <w:t xml:space="preserve">organogenese, </w:t>
      </w:r>
      <w:r w:rsidR="00990D4E" w:rsidRPr="00D21D8C">
        <w:rPr>
          <w:rFonts w:asciiTheme="majorBidi" w:hAnsiTheme="majorBidi" w:cstheme="majorBidi"/>
          <w:color w:val="000000"/>
          <w:szCs w:val="22"/>
          <w:u w:color="FFFFFF"/>
        </w:rPr>
        <w:t xml:space="preserve">wat </w:t>
      </w:r>
      <w:r w:rsidRPr="00D21D8C">
        <w:rPr>
          <w:rFonts w:asciiTheme="majorBidi" w:hAnsiTheme="majorBidi" w:cstheme="majorBidi"/>
          <w:color w:val="000000"/>
          <w:szCs w:val="22"/>
          <w:u w:color="FFFFFF"/>
        </w:rPr>
        <w:t>leidde tot een afname in het foetale lichaamsgewicht, embryofoetale mortaliteit en foetale misvorming</w:t>
      </w:r>
      <w:r w:rsidR="00990D4E" w:rsidRPr="00D21D8C">
        <w:rPr>
          <w:rFonts w:asciiTheme="majorBidi" w:hAnsiTheme="majorBidi" w:cstheme="majorBidi"/>
          <w:color w:val="000000"/>
          <w:szCs w:val="22"/>
          <w:u w:color="FFFFFF"/>
        </w:rPr>
        <w:t>en</w:t>
      </w:r>
      <w:r w:rsidRPr="00D21D8C">
        <w:rPr>
          <w:rFonts w:asciiTheme="majorBidi" w:hAnsiTheme="majorBidi" w:cstheme="majorBidi"/>
          <w:color w:val="000000"/>
          <w:szCs w:val="22"/>
          <w:u w:color="FFFFFF"/>
        </w:rPr>
        <w:t xml:space="preserve"> bij blootstelling </w:t>
      </w:r>
      <w:r w:rsidR="00E35201" w:rsidRPr="00D21D8C">
        <w:rPr>
          <w:rFonts w:asciiTheme="majorBidi" w:hAnsiTheme="majorBidi" w:cstheme="majorBidi"/>
          <w:color w:val="000000"/>
          <w:szCs w:val="22"/>
          <w:u w:color="FFFFFF"/>
        </w:rPr>
        <w:t xml:space="preserve">van de moeder </w:t>
      </w:r>
      <w:r w:rsidR="002E53AF" w:rsidRPr="00D21D8C">
        <w:rPr>
          <w:rFonts w:asciiTheme="majorBidi" w:hAnsiTheme="majorBidi" w:cstheme="majorBidi"/>
          <w:color w:val="000000"/>
          <w:szCs w:val="22"/>
          <w:u w:color="FFFFFF"/>
        </w:rPr>
        <w:t xml:space="preserve">van </w:t>
      </w:r>
      <w:r w:rsidRPr="00D21D8C">
        <w:rPr>
          <w:rFonts w:asciiTheme="majorBidi" w:hAnsiTheme="majorBidi" w:cstheme="majorBidi"/>
          <w:color w:val="000000"/>
          <w:szCs w:val="22"/>
          <w:u w:color="FFFFFF"/>
        </w:rPr>
        <w:t>3,0</w:t>
      </w:r>
      <w:r w:rsidR="00E35201" w:rsidRPr="00D21D8C">
        <w:rPr>
          <w:rFonts w:asciiTheme="majorBidi" w:hAnsiTheme="majorBidi" w:cstheme="majorBidi"/>
          <w:color w:val="000000"/>
          <w:szCs w:val="22"/>
          <w:u w:color="FFFFFF"/>
        </w:rPr>
        <w:t xml:space="preserve"> keer</w:t>
      </w:r>
      <w:r w:rsidRPr="00D21D8C">
        <w:rPr>
          <w:rFonts w:asciiTheme="majorBidi" w:hAnsiTheme="majorBidi" w:cstheme="majorBidi"/>
          <w:color w:val="000000"/>
          <w:szCs w:val="22"/>
          <w:u w:color="FFFFFF"/>
        </w:rPr>
        <w:t xml:space="preserve"> de menselijke blootstelling bij de aanbevolen dosis van 200 mg gebaseerd op de AUC.</w:t>
      </w:r>
    </w:p>
    <w:p w14:paraId="29EF5122" w14:textId="77777777" w:rsidR="001A274F" w:rsidRPr="00D21D8C" w:rsidRDefault="001A274F">
      <w:pPr>
        <w:spacing w:line="240" w:lineRule="auto"/>
        <w:rPr>
          <w:rFonts w:asciiTheme="majorBidi" w:hAnsiTheme="majorBidi" w:cstheme="majorBidi"/>
          <w:szCs w:val="22"/>
        </w:rPr>
      </w:pPr>
    </w:p>
    <w:p w14:paraId="5D085D17" w14:textId="77777777"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val="single" w:color="000000"/>
        </w:rPr>
        <w:t>Reproductietoxiciteit</w:t>
      </w:r>
    </w:p>
    <w:p w14:paraId="24E83019" w14:textId="77777777" w:rsidR="001A274F" w:rsidRPr="00D21D8C" w:rsidRDefault="001A274F">
      <w:pPr>
        <w:keepNext/>
        <w:spacing w:line="240" w:lineRule="auto"/>
        <w:rPr>
          <w:rFonts w:asciiTheme="majorBidi" w:hAnsiTheme="majorBidi" w:cstheme="majorBidi"/>
          <w:szCs w:val="22"/>
        </w:rPr>
      </w:pPr>
    </w:p>
    <w:p w14:paraId="7A89E268" w14:textId="1C2462C7" w:rsidR="001A274F" w:rsidRPr="00D21D8C" w:rsidRDefault="007F50B5">
      <w:pPr>
        <w:keepNext/>
        <w:spacing w:line="240" w:lineRule="auto"/>
        <w:rPr>
          <w:rFonts w:asciiTheme="majorBidi" w:hAnsiTheme="majorBidi" w:cstheme="majorBidi"/>
          <w:szCs w:val="22"/>
        </w:rPr>
      </w:pPr>
      <w:r w:rsidRPr="00D21D8C">
        <w:rPr>
          <w:rFonts w:asciiTheme="majorBidi" w:hAnsiTheme="majorBidi" w:cstheme="majorBidi"/>
          <w:color w:val="000000"/>
          <w:szCs w:val="22"/>
          <w:u w:color="FFFFFF"/>
        </w:rPr>
        <w:t xml:space="preserve">Er zijn geen vruchtbaarheidsonderzoeken uitgevoerd met pirtobrutinib. </w:t>
      </w:r>
      <w:r w:rsidR="00DA418A" w:rsidRPr="00D21D8C">
        <w:rPr>
          <w:rFonts w:asciiTheme="majorBidi" w:hAnsiTheme="majorBidi" w:cstheme="majorBidi"/>
          <w:color w:val="000000"/>
          <w:szCs w:val="22"/>
          <w:u w:color="FFFFFF"/>
        </w:rPr>
        <w:t>In onderzoeken naar toxiciteit met herhaalde dosering gedurende 3</w:t>
      </w:r>
      <w:r w:rsidR="00FD5007" w:rsidRPr="00D21D8C">
        <w:rPr>
          <w:rFonts w:asciiTheme="majorBidi" w:hAnsiTheme="majorBidi" w:cstheme="majorBidi"/>
          <w:color w:val="000000"/>
          <w:szCs w:val="22"/>
          <w:u w:color="FFFFFF"/>
        </w:rPr>
        <w:t> </w:t>
      </w:r>
      <w:r w:rsidR="00DA418A" w:rsidRPr="00D21D8C">
        <w:rPr>
          <w:rFonts w:asciiTheme="majorBidi" w:hAnsiTheme="majorBidi" w:cstheme="majorBidi"/>
          <w:color w:val="000000"/>
          <w:szCs w:val="22"/>
          <w:u w:color="FFFFFF"/>
        </w:rPr>
        <w:t>maanden had pirtobrutinib geen effect op de mannelijke voortplantingsorganen bij 0,69</w:t>
      </w:r>
      <w:r w:rsidR="00DA418A" w:rsidRPr="00D21D8C">
        <w:rPr>
          <w:rFonts w:asciiTheme="majorBidi" w:hAnsiTheme="majorBidi" w:cstheme="majorBidi"/>
          <w:color w:val="000000"/>
          <w:szCs w:val="22"/>
          <w:u w:color="FFFFFF"/>
        </w:rPr>
        <w:noBreakHyphen/>
        <w:t>voudige en 0,42</w:t>
      </w:r>
      <w:r w:rsidR="00DA418A" w:rsidRPr="00D21D8C">
        <w:rPr>
          <w:rFonts w:asciiTheme="majorBidi" w:hAnsiTheme="majorBidi" w:cstheme="majorBidi"/>
          <w:color w:val="000000"/>
          <w:szCs w:val="22"/>
          <w:u w:color="FFFFFF"/>
        </w:rPr>
        <w:noBreakHyphen/>
        <w:t>voudige menselijke blootstelling bij respectievelijk ratten en honden in de aanbevolen dosis van 200 mg gebaseerd op de AUC. Pirtobrutinib had geen effect op de vrouwelijke voortplantingsorganen bij 4,0</w:t>
      </w:r>
      <w:r w:rsidR="00DA418A" w:rsidRPr="00D21D8C">
        <w:rPr>
          <w:rFonts w:asciiTheme="majorBidi" w:hAnsiTheme="majorBidi" w:cstheme="majorBidi"/>
          <w:color w:val="000000"/>
          <w:szCs w:val="22"/>
          <w:u w:color="FFFFFF"/>
        </w:rPr>
        <w:noBreakHyphen/>
        <w:t>voudige en 0,42</w:t>
      </w:r>
      <w:r w:rsidR="00DA418A" w:rsidRPr="00D21D8C">
        <w:rPr>
          <w:rFonts w:asciiTheme="majorBidi" w:hAnsiTheme="majorBidi" w:cstheme="majorBidi"/>
          <w:color w:val="000000"/>
          <w:szCs w:val="22"/>
          <w:u w:color="FFFFFF"/>
        </w:rPr>
        <w:noBreakHyphen/>
        <w:t xml:space="preserve">voudige menselijke blootstelling bij respectievelijk ratten en honden. </w:t>
      </w:r>
    </w:p>
    <w:p w14:paraId="16BF99E2" w14:textId="77777777" w:rsidR="001A274F" w:rsidRPr="00D21D8C" w:rsidRDefault="001A274F">
      <w:pPr>
        <w:spacing w:line="240" w:lineRule="auto"/>
        <w:rPr>
          <w:rFonts w:asciiTheme="majorBidi" w:hAnsiTheme="majorBidi" w:cstheme="majorBidi"/>
          <w:szCs w:val="22"/>
        </w:rPr>
      </w:pPr>
    </w:p>
    <w:p w14:paraId="4F7F2E5F" w14:textId="77777777" w:rsidR="001A274F" w:rsidRPr="00D21D8C" w:rsidRDefault="001A274F">
      <w:pPr>
        <w:spacing w:line="240" w:lineRule="auto"/>
        <w:rPr>
          <w:rFonts w:asciiTheme="majorBidi" w:hAnsiTheme="majorBidi" w:cstheme="majorBidi"/>
          <w:szCs w:val="22"/>
        </w:rPr>
      </w:pPr>
    </w:p>
    <w:p w14:paraId="5D22BFFC" w14:textId="77777777" w:rsidR="001A274F" w:rsidRPr="00D21D8C" w:rsidRDefault="00DA418A">
      <w:pPr>
        <w:keepNext/>
        <w:spacing w:line="240" w:lineRule="auto"/>
        <w:ind w:left="567" w:hanging="567"/>
        <w:rPr>
          <w:rFonts w:asciiTheme="majorBidi" w:hAnsiTheme="majorBidi" w:cstheme="majorBidi"/>
          <w:b/>
          <w:szCs w:val="22"/>
        </w:rPr>
      </w:pPr>
      <w:r w:rsidRPr="00D21D8C">
        <w:rPr>
          <w:rFonts w:asciiTheme="majorBidi" w:hAnsiTheme="majorBidi" w:cstheme="majorBidi"/>
          <w:b/>
          <w:bCs/>
          <w:color w:val="000000"/>
          <w:szCs w:val="22"/>
          <w:u w:color="FFFFFF"/>
        </w:rPr>
        <w:t>6.</w:t>
      </w:r>
      <w:r w:rsidRPr="00D21D8C">
        <w:rPr>
          <w:rFonts w:asciiTheme="majorBidi" w:hAnsiTheme="majorBidi" w:cstheme="majorBidi"/>
          <w:b/>
          <w:bCs/>
          <w:color w:val="000000"/>
          <w:szCs w:val="22"/>
          <w:u w:color="FFFFFF"/>
        </w:rPr>
        <w:tab/>
        <w:t>FARMACEUTISCHE GEGEVENS</w:t>
      </w:r>
    </w:p>
    <w:p w14:paraId="192C1FB5" w14:textId="77777777" w:rsidR="001A274F" w:rsidRPr="00D21D8C" w:rsidRDefault="001A274F">
      <w:pPr>
        <w:keepNext/>
        <w:spacing w:line="240" w:lineRule="auto"/>
        <w:rPr>
          <w:rFonts w:asciiTheme="majorBidi" w:hAnsiTheme="majorBidi" w:cstheme="majorBidi"/>
          <w:szCs w:val="22"/>
        </w:rPr>
      </w:pPr>
    </w:p>
    <w:p w14:paraId="4CC93194" w14:textId="4762907A" w:rsidR="001A274F" w:rsidRPr="00D21D8C" w:rsidRDefault="00DA418A">
      <w:pPr>
        <w:keepNext/>
        <w:spacing w:line="240" w:lineRule="auto"/>
        <w:ind w:left="567" w:hanging="567"/>
        <w:outlineLvl w:val="0"/>
        <w:rPr>
          <w:rFonts w:asciiTheme="majorBidi" w:hAnsiTheme="majorBidi" w:cstheme="majorBidi"/>
          <w:szCs w:val="22"/>
        </w:rPr>
      </w:pPr>
      <w:r w:rsidRPr="00D21D8C">
        <w:rPr>
          <w:rFonts w:asciiTheme="majorBidi" w:hAnsiTheme="majorBidi" w:cstheme="majorBidi"/>
          <w:b/>
          <w:bCs/>
          <w:color w:val="000000"/>
          <w:szCs w:val="22"/>
          <w:u w:color="FFFFFF"/>
        </w:rPr>
        <w:t>6.1</w:t>
      </w:r>
      <w:r w:rsidRPr="00D21D8C">
        <w:rPr>
          <w:rFonts w:asciiTheme="majorBidi" w:hAnsiTheme="majorBidi" w:cstheme="majorBidi"/>
          <w:b/>
          <w:bCs/>
          <w:color w:val="000000"/>
          <w:szCs w:val="22"/>
          <w:u w:color="FFFFFF"/>
        </w:rPr>
        <w:tab/>
        <w:t>Lijst van hulpstoffen</w:t>
      </w:r>
      <w:r w:rsidR="0011019E" w:rsidRPr="00D21D8C">
        <w:rPr>
          <w:rFonts w:asciiTheme="majorBidi" w:hAnsiTheme="majorBidi" w:cstheme="majorBidi"/>
          <w:b/>
          <w:bCs/>
          <w:color w:val="000000"/>
          <w:szCs w:val="22"/>
          <w:u w:color="FFFFFF"/>
        </w:rPr>
        <w:fldChar w:fldCharType="begin"/>
      </w:r>
      <w:r w:rsidR="0011019E" w:rsidRPr="00D21D8C">
        <w:rPr>
          <w:rFonts w:asciiTheme="majorBidi" w:hAnsiTheme="majorBidi" w:cstheme="majorBidi"/>
          <w:b/>
          <w:bCs/>
          <w:color w:val="000000"/>
          <w:szCs w:val="22"/>
          <w:u w:color="FFFFFF"/>
        </w:rPr>
        <w:instrText xml:space="preserve"> DOCVARIABLE vault_nd_b9b08486-c322-42d4-b6e4-1904972dab25 \* MERGEFORMAT </w:instrText>
      </w:r>
      <w:r w:rsidR="0011019E" w:rsidRPr="00D21D8C">
        <w:rPr>
          <w:rFonts w:asciiTheme="majorBidi" w:hAnsiTheme="majorBidi" w:cstheme="majorBidi"/>
          <w:b/>
          <w:bCs/>
          <w:color w:val="000000"/>
          <w:szCs w:val="22"/>
          <w:u w:color="FFFFFF"/>
        </w:rPr>
        <w:fldChar w:fldCharType="separate"/>
      </w:r>
      <w:r w:rsidR="0011019E" w:rsidRPr="00D21D8C">
        <w:rPr>
          <w:rFonts w:asciiTheme="majorBidi" w:hAnsiTheme="majorBidi" w:cstheme="majorBidi"/>
          <w:b/>
          <w:bCs/>
          <w:color w:val="000000"/>
          <w:szCs w:val="22"/>
          <w:u w:color="FFFFFF"/>
        </w:rPr>
        <w:t xml:space="preserve"> </w:t>
      </w:r>
      <w:r w:rsidR="0011019E" w:rsidRPr="00D21D8C">
        <w:rPr>
          <w:rFonts w:asciiTheme="majorBidi" w:hAnsiTheme="majorBidi" w:cstheme="majorBidi"/>
          <w:b/>
          <w:bCs/>
          <w:color w:val="000000"/>
          <w:szCs w:val="22"/>
          <w:u w:color="FFFFFF"/>
        </w:rPr>
        <w:fldChar w:fldCharType="end"/>
      </w:r>
    </w:p>
    <w:p w14:paraId="5D7FD7E6" w14:textId="77777777" w:rsidR="001A274F" w:rsidRPr="00D21D8C" w:rsidRDefault="001A274F">
      <w:pPr>
        <w:keepNext/>
        <w:spacing w:line="240" w:lineRule="auto"/>
        <w:rPr>
          <w:rFonts w:asciiTheme="majorBidi" w:hAnsiTheme="majorBidi" w:cstheme="majorBidi"/>
          <w:szCs w:val="22"/>
        </w:rPr>
      </w:pPr>
    </w:p>
    <w:p w14:paraId="0C8A8A4B" w14:textId="2B30ADCF"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val="single"/>
        </w:rPr>
        <w:t>Tabletkern</w:t>
      </w:r>
      <w:r w:rsidRPr="00D21D8C">
        <w:rPr>
          <w:rFonts w:asciiTheme="majorBidi" w:hAnsiTheme="majorBidi" w:cstheme="majorBidi"/>
          <w:color w:val="000000"/>
          <w:szCs w:val="22"/>
          <w:u w:color="FFFFFF"/>
        </w:rPr>
        <w:br/>
        <w:t>Hypromelloseacetaatsuccinaat</w:t>
      </w:r>
    </w:p>
    <w:p w14:paraId="39E81CC3" w14:textId="77777777"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color="FFFFFF"/>
        </w:rPr>
        <w:t xml:space="preserve">Microkristallijne cellulose </w:t>
      </w:r>
    </w:p>
    <w:p w14:paraId="18A4438D" w14:textId="77777777"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color="FFFFFF"/>
        </w:rPr>
        <w:t xml:space="preserve">Lactosemonohydraat </w:t>
      </w:r>
    </w:p>
    <w:p w14:paraId="70C04279" w14:textId="77777777" w:rsidR="001A274F" w:rsidRPr="00D21D8C" w:rsidRDefault="00DA418A">
      <w:pPr>
        <w:spacing w:line="240" w:lineRule="auto"/>
        <w:rPr>
          <w:rFonts w:asciiTheme="majorBidi" w:hAnsiTheme="majorBidi" w:cstheme="majorBidi"/>
          <w:szCs w:val="22"/>
        </w:rPr>
      </w:pPr>
      <w:r w:rsidRPr="00D21D8C">
        <w:rPr>
          <w:rFonts w:asciiTheme="majorBidi" w:hAnsiTheme="majorBidi" w:cstheme="majorBidi"/>
          <w:color w:val="000000"/>
          <w:szCs w:val="22"/>
          <w:u w:color="FFFFFF"/>
        </w:rPr>
        <w:t xml:space="preserve">Croscarmellosenatrium </w:t>
      </w:r>
    </w:p>
    <w:p w14:paraId="1AC31C63" w14:textId="77777777" w:rsidR="001A274F" w:rsidRPr="00D21D8C" w:rsidRDefault="00DA418A">
      <w:pPr>
        <w:spacing w:line="240" w:lineRule="auto"/>
        <w:rPr>
          <w:rFonts w:asciiTheme="majorBidi" w:hAnsiTheme="majorBidi" w:cstheme="majorBidi"/>
          <w:szCs w:val="22"/>
        </w:rPr>
      </w:pPr>
      <w:r w:rsidRPr="00D21D8C">
        <w:rPr>
          <w:rFonts w:asciiTheme="majorBidi" w:hAnsiTheme="majorBidi" w:cstheme="majorBidi"/>
          <w:color w:val="000000"/>
          <w:szCs w:val="22"/>
          <w:u w:color="FFFFFF"/>
        </w:rPr>
        <w:t xml:space="preserve">Magnesiumstearaat </w:t>
      </w:r>
    </w:p>
    <w:p w14:paraId="4A24C254" w14:textId="77777777" w:rsidR="001A274F" w:rsidRPr="00D21D8C" w:rsidRDefault="00DA418A">
      <w:pPr>
        <w:spacing w:line="240" w:lineRule="auto"/>
        <w:rPr>
          <w:rFonts w:asciiTheme="majorBidi" w:hAnsiTheme="majorBidi" w:cstheme="majorBidi"/>
          <w:szCs w:val="22"/>
        </w:rPr>
      </w:pPr>
      <w:r w:rsidRPr="00D21D8C">
        <w:rPr>
          <w:rFonts w:asciiTheme="majorBidi" w:hAnsiTheme="majorBidi" w:cstheme="majorBidi"/>
          <w:color w:val="000000"/>
          <w:szCs w:val="22"/>
          <w:u w:color="FFFFFF"/>
        </w:rPr>
        <w:t xml:space="preserve">Colloïdaal silica, gehydrateerd </w:t>
      </w:r>
    </w:p>
    <w:p w14:paraId="7F3FEB7A" w14:textId="77777777" w:rsidR="001A274F" w:rsidRPr="00D21D8C" w:rsidRDefault="001A274F">
      <w:pPr>
        <w:spacing w:line="240" w:lineRule="auto"/>
        <w:rPr>
          <w:rFonts w:asciiTheme="majorBidi" w:hAnsiTheme="majorBidi" w:cstheme="majorBidi"/>
          <w:szCs w:val="22"/>
        </w:rPr>
      </w:pPr>
    </w:p>
    <w:p w14:paraId="523994CA" w14:textId="77777777"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val="single" w:color="000000"/>
        </w:rPr>
        <w:t>Filmomhulling</w:t>
      </w:r>
    </w:p>
    <w:p w14:paraId="060DF1C3" w14:textId="77777777"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color="FFFFFF"/>
        </w:rPr>
        <w:t>Hypromellose</w:t>
      </w:r>
    </w:p>
    <w:p w14:paraId="60007A4A" w14:textId="77777777"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color="FFFFFF"/>
        </w:rPr>
        <w:t>Titaniumdioxide</w:t>
      </w:r>
    </w:p>
    <w:p w14:paraId="0D60486B" w14:textId="13CBD3AE" w:rsidR="001A274F" w:rsidRPr="00D21D8C" w:rsidRDefault="00460EEB">
      <w:pPr>
        <w:spacing w:line="240" w:lineRule="auto"/>
        <w:rPr>
          <w:rFonts w:asciiTheme="majorBidi" w:hAnsiTheme="majorBidi" w:cstheme="majorBidi"/>
          <w:szCs w:val="22"/>
        </w:rPr>
      </w:pPr>
      <w:r w:rsidRPr="00D21D8C">
        <w:rPr>
          <w:rFonts w:asciiTheme="majorBidi" w:hAnsiTheme="majorBidi" w:cstheme="majorBidi"/>
          <w:color w:val="000000"/>
          <w:szCs w:val="22"/>
          <w:u w:color="FFFFFF"/>
        </w:rPr>
        <w:t>Triacetine</w:t>
      </w:r>
    </w:p>
    <w:p w14:paraId="41C6FB0D" w14:textId="77777777" w:rsidR="001A274F" w:rsidRPr="00D21D8C" w:rsidRDefault="00DA418A">
      <w:pPr>
        <w:spacing w:line="240" w:lineRule="auto"/>
        <w:rPr>
          <w:rFonts w:asciiTheme="majorBidi" w:hAnsiTheme="majorBidi" w:cstheme="majorBidi"/>
          <w:szCs w:val="22"/>
        </w:rPr>
      </w:pPr>
      <w:r w:rsidRPr="00D21D8C">
        <w:rPr>
          <w:rFonts w:asciiTheme="majorBidi" w:hAnsiTheme="majorBidi" w:cstheme="majorBidi"/>
          <w:color w:val="000000"/>
          <w:szCs w:val="22"/>
          <w:u w:color="FFFFFF"/>
        </w:rPr>
        <w:t>Indigokarmijn (E132)</w:t>
      </w:r>
    </w:p>
    <w:p w14:paraId="0999F4D2" w14:textId="77777777" w:rsidR="001A274F" w:rsidRPr="00D21D8C" w:rsidRDefault="001A274F">
      <w:pPr>
        <w:spacing w:line="240" w:lineRule="auto"/>
        <w:rPr>
          <w:rFonts w:asciiTheme="majorBidi" w:hAnsiTheme="majorBidi" w:cstheme="majorBidi"/>
          <w:szCs w:val="22"/>
        </w:rPr>
      </w:pPr>
    </w:p>
    <w:p w14:paraId="7251E09F" w14:textId="048DCE34" w:rsidR="001A274F" w:rsidRPr="00D21D8C" w:rsidRDefault="00DA418A">
      <w:pPr>
        <w:keepNext/>
        <w:spacing w:line="240" w:lineRule="auto"/>
        <w:ind w:left="567" w:hanging="567"/>
        <w:outlineLvl w:val="0"/>
        <w:rPr>
          <w:rFonts w:asciiTheme="majorBidi" w:hAnsiTheme="majorBidi" w:cstheme="majorBidi"/>
          <w:szCs w:val="22"/>
        </w:rPr>
      </w:pPr>
      <w:r w:rsidRPr="00D21D8C">
        <w:rPr>
          <w:rFonts w:asciiTheme="majorBidi" w:hAnsiTheme="majorBidi" w:cstheme="majorBidi"/>
          <w:b/>
          <w:bCs/>
          <w:color w:val="000000"/>
          <w:szCs w:val="22"/>
          <w:u w:color="FFFFFF"/>
        </w:rPr>
        <w:t>6.2</w:t>
      </w:r>
      <w:r w:rsidRPr="00D21D8C">
        <w:rPr>
          <w:rFonts w:asciiTheme="majorBidi" w:hAnsiTheme="majorBidi" w:cstheme="majorBidi"/>
          <w:b/>
          <w:bCs/>
          <w:color w:val="000000"/>
          <w:szCs w:val="22"/>
          <w:u w:color="FFFFFF"/>
        </w:rPr>
        <w:tab/>
        <w:t>Gevallen van onverenigbaarheid</w:t>
      </w:r>
      <w:r w:rsidR="0011019E" w:rsidRPr="00D21D8C">
        <w:rPr>
          <w:rFonts w:asciiTheme="majorBidi" w:hAnsiTheme="majorBidi" w:cstheme="majorBidi"/>
          <w:b/>
          <w:bCs/>
          <w:color w:val="000000"/>
          <w:szCs w:val="22"/>
          <w:u w:color="FFFFFF"/>
        </w:rPr>
        <w:fldChar w:fldCharType="begin"/>
      </w:r>
      <w:r w:rsidR="0011019E" w:rsidRPr="00D21D8C">
        <w:rPr>
          <w:rFonts w:asciiTheme="majorBidi" w:hAnsiTheme="majorBidi" w:cstheme="majorBidi"/>
          <w:b/>
          <w:bCs/>
          <w:color w:val="000000"/>
          <w:szCs w:val="22"/>
          <w:u w:color="FFFFFF"/>
        </w:rPr>
        <w:instrText xml:space="preserve"> DOCVARIABLE vault_nd_1524bd2a-5a48-4f33-a666-1681443fa461 \* MERGEFORMAT </w:instrText>
      </w:r>
      <w:r w:rsidR="0011019E" w:rsidRPr="00D21D8C">
        <w:rPr>
          <w:rFonts w:asciiTheme="majorBidi" w:hAnsiTheme="majorBidi" w:cstheme="majorBidi"/>
          <w:b/>
          <w:bCs/>
          <w:color w:val="000000"/>
          <w:szCs w:val="22"/>
          <w:u w:color="FFFFFF"/>
        </w:rPr>
        <w:fldChar w:fldCharType="separate"/>
      </w:r>
      <w:r w:rsidR="0011019E" w:rsidRPr="00D21D8C">
        <w:rPr>
          <w:rFonts w:asciiTheme="majorBidi" w:hAnsiTheme="majorBidi" w:cstheme="majorBidi"/>
          <w:b/>
          <w:bCs/>
          <w:color w:val="000000"/>
          <w:szCs w:val="22"/>
          <w:u w:color="FFFFFF"/>
        </w:rPr>
        <w:t xml:space="preserve"> </w:t>
      </w:r>
      <w:r w:rsidR="0011019E" w:rsidRPr="00D21D8C">
        <w:rPr>
          <w:rFonts w:asciiTheme="majorBidi" w:hAnsiTheme="majorBidi" w:cstheme="majorBidi"/>
          <w:b/>
          <w:bCs/>
          <w:color w:val="000000"/>
          <w:szCs w:val="22"/>
          <w:u w:color="FFFFFF"/>
        </w:rPr>
        <w:fldChar w:fldCharType="end"/>
      </w:r>
    </w:p>
    <w:p w14:paraId="4A2326C7" w14:textId="77777777" w:rsidR="001A274F" w:rsidRPr="00D21D8C" w:rsidRDefault="001A274F">
      <w:pPr>
        <w:keepNext/>
        <w:spacing w:line="240" w:lineRule="auto"/>
        <w:rPr>
          <w:rFonts w:asciiTheme="majorBidi" w:hAnsiTheme="majorBidi" w:cstheme="majorBidi"/>
          <w:szCs w:val="22"/>
        </w:rPr>
      </w:pPr>
    </w:p>
    <w:p w14:paraId="4193733D" w14:textId="77777777"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color="FFFFFF"/>
        </w:rPr>
        <w:t xml:space="preserve">Niet van toepassing. </w:t>
      </w:r>
    </w:p>
    <w:p w14:paraId="50B8C7EC" w14:textId="77777777" w:rsidR="001A274F" w:rsidRPr="00D21D8C" w:rsidRDefault="001A274F">
      <w:pPr>
        <w:spacing w:line="240" w:lineRule="auto"/>
        <w:rPr>
          <w:rFonts w:asciiTheme="majorBidi" w:hAnsiTheme="majorBidi" w:cstheme="majorBidi"/>
          <w:szCs w:val="22"/>
        </w:rPr>
      </w:pPr>
    </w:p>
    <w:p w14:paraId="5BDA7DA0" w14:textId="448373CB" w:rsidR="001A274F" w:rsidRPr="00D21D8C" w:rsidRDefault="00DA418A">
      <w:pPr>
        <w:keepNext/>
        <w:spacing w:line="240" w:lineRule="auto"/>
        <w:ind w:left="567" w:hanging="567"/>
        <w:outlineLvl w:val="0"/>
        <w:rPr>
          <w:rFonts w:asciiTheme="majorBidi" w:hAnsiTheme="majorBidi" w:cstheme="majorBidi"/>
          <w:szCs w:val="22"/>
        </w:rPr>
      </w:pPr>
      <w:r w:rsidRPr="00D21D8C">
        <w:rPr>
          <w:rFonts w:asciiTheme="majorBidi" w:hAnsiTheme="majorBidi" w:cstheme="majorBidi"/>
          <w:b/>
          <w:bCs/>
          <w:color w:val="000000"/>
          <w:szCs w:val="22"/>
          <w:u w:color="FFFFFF"/>
        </w:rPr>
        <w:t>6.3</w:t>
      </w:r>
      <w:r w:rsidRPr="00D21D8C">
        <w:rPr>
          <w:rFonts w:asciiTheme="majorBidi" w:hAnsiTheme="majorBidi" w:cstheme="majorBidi"/>
          <w:b/>
          <w:bCs/>
          <w:color w:val="000000"/>
          <w:szCs w:val="22"/>
          <w:u w:color="FFFFFF"/>
        </w:rPr>
        <w:tab/>
        <w:t>Houdbaarheid</w:t>
      </w:r>
      <w:r w:rsidR="0011019E" w:rsidRPr="00D21D8C">
        <w:rPr>
          <w:rFonts w:asciiTheme="majorBidi" w:hAnsiTheme="majorBidi" w:cstheme="majorBidi"/>
          <w:b/>
          <w:bCs/>
          <w:color w:val="000000"/>
          <w:szCs w:val="22"/>
          <w:u w:color="FFFFFF"/>
        </w:rPr>
        <w:fldChar w:fldCharType="begin"/>
      </w:r>
      <w:r w:rsidR="0011019E" w:rsidRPr="00D21D8C">
        <w:rPr>
          <w:rFonts w:asciiTheme="majorBidi" w:hAnsiTheme="majorBidi" w:cstheme="majorBidi"/>
          <w:b/>
          <w:bCs/>
          <w:color w:val="000000"/>
          <w:szCs w:val="22"/>
          <w:u w:color="FFFFFF"/>
        </w:rPr>
        <w:instrText xml:space="preserve"> DOCVARIABLE vault_nd_663e9382-1f65-4641-976d-1ccb3a9c870b \* MERGEFORMAT </w:instrText>
      </w:r>
      <w:r w:rsidR="0011019E" w:rsidRPr="00D21D8C">
        <w:rPr>
          <w:rFonts w:asciiTheme="majorBidi" w:hAnsiTheme="majorBidi" w:cstheme="majorBidi"/>
          <w:b/>
          <w:bCs/>
          <w:color w:val="000000"/>
          <w:szCs w:val="22"/>
          <w:u w:color="FFFFFF"/>
        </w:rPr>
        <w:fldChar w:fldCharType="separate"/>
      </w:r>
      <w:r w:rsidR="0011019E" w:rsidRPr="00D21D8C">
        <w:rPr>
          <w:rFonts w:asciiTheme="majorBidi" w:hAnsiTheme="majorBidi" w:cstheme="majorBidi"/>
          <w:b/>
          <w:bCs/>
          <w:color w:val="000000"/>
          <w:szCs w:val="22"/>
          <w:u w:color="FFFFFF"/>
        </w:rPr>
        <w:t xml:space="preserve"> </w:t>
      </w:r>
      <w:r w:rsidR="0011019E" w:rsidRPr="00D21D8C">
        <w:rPr>
          <w:rFonts w:asciiTheme="majorBidi" w:hAnsiTheme="majorBidi" w:cstheme="majorBidi"/>
          <w:b/>
          <w:bCs/>
          <w:color w:val="000000"/>
          <w:szCs w:val="22"/>
          <w:u w:color="FFFFFF"/>
        </w:rPr>
        <w:fldChar w:fldCharType="end"/>
      </w:r>
    </w:p>
    <w:p w14:paraId="68125B9C" w14:textId="77777777" w:rsidR="001A274F" w:rsidRPr="00D21D8C" w:rsidRDefault="001A274F">
      <w:pPr>
        <w:keepNext/>
        <w:spacing w:line="240" w:lineRule="auto"/>
        <w:rPr>
          <w:rFonts w:asciiTheme="majorBidi" w:hAnsiTheme="majorBidi" w:cstheme="majorBidi"/>
          <w:szCs w:val="22"/>
        </w:rPr>
      </w:pPr>
    </w:p>
    <w:p w14:paraId="23514C83" w14:textId="4054BC89" w:rsidR="001A274F" w:rsidRPr="00D21D8C" w:rsidRDefault="00FC7A72">
      <w:pPr>
        <w:keepNext/>
        <w:spacing w:line="240" w:lineRule="auto"/>
        <w:rPr>
          <w:rFonts w:asciiTheme="majorBidi" w:hAnsiTheme="majorBidi" w:cstheme="majorBidi"/>
          <w:szCs w:val="22"/>
        </w:rPr>
      </w:pPr>
      <w:r w:rsidRPr="00D21D8C">
        <w:rPr>
          <w:rFonts w:asciiTheme="majorBidi" w:hAnsiTheme="majorBidi" w:cstheme="majorBidi"/>
          <w:color w:val="000000"/>
          <w:szCs w:val="22"/>
          <w:u w:color="FFFFFF"/>
        </w:rPr>
        <w:t>3</w:t>
      </w:r>
      <w:r w:rsidR="00DA418A" w:rsidRPr="00D21D8C">
        <w:rPr>
          <w:rFonts w:asciiTheme="majorBidi" w:hAnsiTheme="majorBidi" w:cstheme="majorBidi"/>
          <w:color w:val="000000"/>
          <w:szCs w:val="22"/>
          <w:u w:color="FFFFFF"/>
        </w:rPr>
        <w:t> jaar.</w:t>
      </w:r>
    </w:p>
    <w:p w14:paraId="00F0F318" w14:textId="77777777" w:rsidR="001A274F" w:rsidRPr="00D21D8C" w:rsidRDefault="001A274F">
      <w:pPr>
        <w:spacing w:line="240" w:lineRule="auto"/>
        <w:rPr>
          <w:rFonts w:asciiTheme="majorBidi" w:hAnsiTheme="majorBidi" w:cstheme="majorBidi"/>
          <w:szCs w:val="22"/>
        </w:rPr>
      </w:pPr>
    </w:p>
    <w:p w14:paraId="36AA875B" w14:textId="5D350744" w:rsidR="001A274F" w:rsidRPr="00D21D8C" w:rsidRDefault="00DA418A">
      <w:pPr>
        <w:keepNext/>
        <w:spacing w:line="240" w:lineRule="auto"/>
        <w:ind w:left="567" w:hanging="567"/>
        <w:outlineLvl w:val="0"/>
        <w:rPr>
          <w:rFonts w:asciiTheme="majorBidi" w:hAnsiTheme="majorBidi" w:cstheme="majorBidi"/>
          <w:b/>
          <w:szCs w:val="22"/>
        </w:rPr>
      </w:pPr>
      <w:r w:rsidRPr="00D21D8C">
        <w:rPr>
          <w:rFonts w:asciiTheme="majorBidi" w:hAnsiTheme="majorBidi" w:cstheme="majorBidi"/>
          <w:b/>
          <w:bCs/>
          <w:color w:val="000000"/>
          <w:szCs w:val="22"/>
          <w:u w:color="FFFFFF"/>
        </w:rPr>
        <w:t>6.4</w:t>
      </w:r>
      <w:r w:rsidRPr="00D21D8C">
        <w:rPr>
          <w:rFonts w:asciiTheme="majorBidi" w:hAnsiTheme="majorBidi" w:cstheme="majorBidi"/>
          <w:b/>
          <w:bCs/>
          <w:color w:val="000000"/>
          <w:szCs w:val="22"/>
          <w:u w:color="FFFFFF"/>
        </w:rPr>
        <w:tab/>
        <w:t>Speciale voorzorgsmaatregelen bij bewaren</w:t>
      </w:r>
      <w:r w:rsidR="0011019E" w:rsidRPr="00D21D8C">
        <w:rPr>
          <w:rFonts w:asciiTheme="majorBidi" w:hAnsiTheme="majorBidi" w:cstheme="majorBidi"/>
          <w:b/>
          <w:bCs/>
          <w:color w:val="000000"/>
          <w:szCs w:val="22"/>
          <w:u w:color="FFFFFF"/>
        </w:rPr>
        <w:fldChar w:fldCharType="begin"/>
      </w:r>
      <w:r w:rsidR="0011019E" w:rsidRPr="00D21D8C">
        <w:rPr>
          <w:rFonts w:asciiTheme="majorBidi" w:hAnsiTheme="majorBidi" w:cstheme="majorBidi"/>
          <w:b/>
          <w:bCs/>
          <w:color w:val="000000"/>
          <w:szCs w:val="22"/>
          <w:u w:color="FFFFFF"/>
        </w:rPr>
        <w:instrText xml:space="preserve"> DOCVARIABLE vault_nd_67449fea-f6cc-416f-843f-efed4d637716 \* MERGEFORMAT </w:instrText>
      </w:r>
      <w:r w:rsidR="0011019E" w:rsidRPr="00D21D8C">
        <w:rPr>
          <w:rFonts w:asciiTheme="majorBidi" w:hAnsiTheme="majorBidi" w:cstheme="majorBidi"/>
          <w:b/>
          <w:bCs/>
          <w:color w:val="000000"/>
          <w:szCs w:val="22"/>
          <w:u w:color="FFFFFF"/>
        </w:rPr>
        <w:fldChar w:fldCharType="separate"/>
      </w:r>
      <w:r w:rsidR="0011019E" w:rsidRPr="00D21D8C">
        <w:rPr>
          <w:rFonts w:asciiTheme="majorBidi" w:hAnsiTheme="majorBidi" w:cstheme="majorBidi"/>
          <w:b/>
          <w:bCs/>
          <w:color w:val="000000"/>
          <w:szCs w:val="22"/>
          <w:u w:color="FFFFFF"/>
        </w:rPr>
        <w:t xml:space="preserve"> </w:t>
      </w:r>
      <w:r w:rsidR="0011019E" w:rsidRPr="00D21D8C">
        <w:rPr>
          <w:rFonts w:asciiTheme="majorBidi" w:hAnsiTheme="majorBidi" w:cstheme="majorBidi"/>
          <w:b/>
          <w:bCs/>
          <w:color w:val="000000"/>
          <w:szCs w:val="22"/>
          <w:u w:color="FFFFFF"/>
        </w:rPr>
        <w:fldChar w:fldCharType="end"/>
      </w:r>
    </w:p>
    <w:p w14:paraId="47178B45" w14:textId="77777777" w:rsidR="001A274F" w:rsidRPr="00D21D8C" w:rsidRDefault="001A274F">
      <w:pPr>
        <w:keepNext/>
        <w:spacing w:line="240" w:lineRule="auto"/>
        <w:ind w:left="567" w:hanging="567"/>
        <w:outlineLvl w:val="0"/>
        <w:rPr>
          <w:rFonts w:asciiTheme="majorBidi" w:hAnsiTheme="majorBidi" w:cstheme="majorBidi"/>
          <w:szCs w:val="22"/>
        </w:rPr>
      </w:pPr>
    </w:p>
    <w:p w14:paraId="6D46B9DE" w14:textId="77777777" w:rsidR="001A274F" w:rsidRPr="00D21D8C" w:rsidRDefault="00DA418A">
      <w:pPr>
        <w:keepNext/>
        <w:spacing w:line="240" w:lineRule="auto"/>
        <w:rPr>
          <w:rFonts w:asciiTheme="majorBidi" w:hAnsiTheme="majorBidi" w:cstheme="majorBidi"/>
          <w:i/>
          <w:szCs w:val="22"/>
        </w:rPr>
      </w:pPr>
      <w:r w:rsidRPr="00D21D8C">
        <w:rPr>
          <w:rFonts w:asciiTheme="majorBidi" w:hAnsiTheme="majorBidi" w:cstheme="majorBidi"/>
          <w:color w:val="000000"/>
          <w:szCs w:val="22"/>
          <w:u w:color="FFFFFF"/>
        </w:rPr>
        <w:t>Voor dit geneesmiddel zijn er geen speciale bewaarcondities.</w:t>
      </w:r>
    </w:p>
    <w:p w14:paraId="4D5577C1" w14:textId="77777777" w:rsidR="001A274F" w:rsidRPr="00D21D8C" w:rsidRDefault="001A274F">
      <w:pPr>
        <w:spacing w:line="240" w:lineRule="auto"/>
        <w:rPr>
          <w:rFonts w:asciiTheme="majorBidi" w:hAnsiTheme="majorBidi" w:cstheme="majorBidi"/>
          <w:szCs w:val="22"/>
        </w:rPr>
      </w:pPr>
    </w:p>
    <w:p w14:paraId="62DFF590" w14:textId="5AB60B07" w:rsidR="001A274F" w:rsidRPr="00D21D8C" w:rsidRDefault="00DA418A">
      <w:pPr>
        <w:keepNext/>
        <w:spacing w:line="240" w:lineRule="auto"/>
        <w:ind w:left="567" w:hanging="567"/>
        <w:outlineLvl w:val="0"/>
        <w:rPr>
          <w:rFonts w:asciiTheme="majorBidi" w:hAnsiTheme="majorBidi" w:cstheme="majorBidi"/>
          <w:b/>
          <w:szCs w:val="22"/>
        </w:rPr>
      </w:pPr>
      <w:r w:rsidRPr="00D21D8C">
        <w:rPr>
          <w:rFonts w:asciiTheme="majorBidi" w:hAnsiTheme="majorBidi" w:cstheme="majorBidi"/>
          <w:b/>
          <w:bCs/>
          <w:color w:val="000000"/>
          <w:szCs w:val="22"/>
          <w:u w:color="FFFFFF"/>
        </w:rPr>
        <w:t>6.5</w:t>
      </w:r>
      <w:r w:rsidRPr="00D21D8C">
        <w:rPr>
          <w:rFonts w:asciiTheme="majorBidi" w:hAnsiTheme="majorBidi" w:cstheme="majorBidi"/>
          <w:b/>
          <w:bCs/>
          <w:color w:val="000000"/>
          <w:szCs w:val="22"/>
          <w:u w:color="FFFFFF"/>
        </w:rPr>
        <w:tab/>
        <w:t>Aard en inhoud van de verpakking</w:t>
      </w:r>
      <w:r w:rsidR="0011019E" w:rsidRPr="00D21D8C">
        <w:rPr>
          <w:rFonts w:asciiTheme="majorBidi" w:hAnsiTheme="majorBidi" w:cstheme="majorBidi"/>
          <w:b/>
          <w:bCs/>
          <w:color w:val="000000"/>
          <w:szCs w:val="22"/>
          <w:u w:color="FFFFFF"/>
        </w:rPr>
        <w:fldChar w:fldCharType="begin"/>
      </w:r>
      <w:r w:rsidR="0011019E" w:rsidRPr="00D21D8C">
        <w:rPr>
          <w:rFonts w:asciiTheme="majorBidi" w:hAnsiTheme="majorBidi" w:cstheme="majorBidi"/>
          <w:b/>
          <w:bCs/>
          <w:color w:val="000000"/>
          <w:szCs w:val="22"/>
          <w:u w:color="FFFFFF"/>
        </w:rPr>
        <w:instrText xml:space="preserve"> DOCVARIABLE vault_nd_3fec2509-a92a-4ccb-84b1-6848a710e6ca \* MERGEFORMAT </w:instrText>
      </w:r>
      <w:r w:rsidR="0011019E" w:rsidRPr="00D21D8C">
        <w:rPr>
          <w:rFonts w:asciiTheme="majorBidi" w:hAnsiTheme="majorBidi" w:cstheme="majorBidi"/>
          <w:b/>
          <w:bCs/>
          <w:color w:val="000000"/>
          <w:szCs w:val="22"/>
          <w:u w:color="FFFFFF"/>
        </w:rPr>
        <w:fldChar w:fldCharType="separate"/>
      </w:r>
      <w:r w:rsidR="0011019E" w:rsidRPr="00D21D8C">
        <w:rPr>
          <w:rFonts w:asciiTheme="majorBidi" w:hAnsiTheme="majorBidi" w:cstheme="majorBidi"/>
          <w:b/>
          <w:bCs/>
          <w:color w:val="000000"/>
          <w:szCs w:val="22"/>
          <w:u w:color="FFFFFF"/>
        </w:rPr>
        <w:t xml:space="preserve"> </w:t>
      </w:r>
      <w:r w:rsidR="0011019E" w:rsidRPr="00D21D8C">
        <w:rPr>
          <w:rFonts w:asciiTheme="majorBidi" w:hAnsiTheme="majorBidi" w:cstheme="majorBidi"/>
          <w:b/>
          <w:bCs/>
          <w:color w:val="000000"/>
          <w:szCs w:val="22"/>
          <w:u w:color="FFFFFF"/>
        </w:rPr>
        <w:fldChar w:fldCharType="end"/>
      </w:r>
    </w:p>
    <w:p w14:paraId="44DC75F8" w14:textId="77777777" w:rsidR="001A274F" w:rsidRPr="00D21D8C" w:rsidRDefault="001A274F">
      <w:pPr>
        <w:keepNext/>
        <w:spacing w:line="240" w:lineRule="auto"/>
        <w:outlineLvl w:val="0"/>
        <w:rPr>
          <w:rFonts w:asciiTheme="majorBidi" w:hAnsiTheme="majorBidi" w:cstheme="majorBidi"/>
          <w:b/>
          <w:szCs w:val="22"/>
        </w:rPr>
      </w:pPr>
    </w:p>
    <w:p w14:paraId="58A69112" w14:textId="77777777" w:rsidR="001A274F" w:rsidRPr="00D21D8C" w:rsidRDefault="00DA418A">
      <w:pPr>
        <w:keepNext/>
        <w:rPr>
          <w:rFonts w:asciiTheme="majorBidi" w:hAnsiTheme="majorBidi" w:cstheme="majorBidi"/>
          <w:szCs w:val="22"/>
          <w:u w:val="single"/>
          <w:lang w:eastAsia="en-GB"/>
        </w:rPr>
      </w:pPr>
      <w:r w:rsidRPr="00D21D8C">
        <w:rPr>
          <w:rFonts w:asciiTheme="majorBidi" w:hAnsiTheme="majorBidi" w:cstheme="majorBidi"/>
          <w:color w:val="000000"/>
          <w:szCs w:val="22"/>
          <w:u w:val="single" w:color="000000"/>
        </w:rPr>
        <w:t>Jaypirca 50 mg filmomhulde tabletten</w:t>
      </w:r>
      <w:r w:rsidRPr="00D21D8C">
        <w:rPr>
          <w:rFonts w:asciiTheme="majorBidi" w:hAnsiTheme="majorBidi" w:cstheme="majorBidi"/>
          <w:color w:val="000000"/>
          <w:szCs w:val="22"/>
          <w:u w:val="single" w:color="FFFFFF"/>
        </w:rPr>
        <w:br/>
      </w:r>
    </w:p>
    <w:p w14:paraId="0918418D" w14:textId="1901AFDF" w:rsidR="001A274F" w:rsidRPr="00D21D8C" w:rsidRDefault="00C70336">
      <w:pPr>
        <w:keepNext/>
        <w:rPr>
          <w:rFonts w:asciiTheme="majorBidi" w:hAnsiTheme="majorBidi" w:cstheme="majorBidi"/>
          <w:szCs w:val="22"/>
        </w:rPr>
      </w:pPr>
      <w:r w:rsidRPr="00D21D8C">
        <w:rPr>
          <w:rFonts w:asciiTheme="majorBidi" w:hAnsiTheme="majorBidi" w:cstheme="majorBidi"/>
          <w:color w:val="000000"/>
          <w:szCs w:val="22"/>
          <w:u w:color="FFFFFF"/>
        </w:rPr>
        <w:t>Blisterverpakkingen van p</w:t>
      </w:r>
      <w:r w:rsidR="00DA418A" w:rsidRPr="00D21D8C">
        <w:rPr>
          <w:rFonts w:asciiTheme="majorBidi" w:hAnsiTheme="majorBidi" w:cstheme="majorBidi"/>
          <w:color w:val="000000"/>
          <w:szCs w:val="22"/>
          <w:u w:color="FFFFFF"/>
        </w:rPr>
        <w:t>olyvinylchloride/poly</w:t>
      </w:r>
      <w:r w:rsidRPr="00D21D8C">
        <w:rPr>
          <w:rFonts w:asciiTheme="majorBidi" w:hAnsiTheme="majorBidi" w:cstheme="majorBidi"/>
          <w:color w:val="000000"/>
          <w:szCs w:val="22"/>
          <w:u w:color="FFFFFF"/>
        </w:rPr>
        <w:t>chloor</w:t>
      </w:r>
      <w:r w:rsidR="00DA418A" w:rsidRPr="00D21D8C">
        <w:rPr>
          <w:rFonts w:asciiTheme="majorBidi" w:hAnsiTheme="majorBidi" w:cstheme="majorBidi"/>
          <w:color w:val="000000"/>
          <w:szCs w:val="22"/>
          <w:u w:color="FFFFFF"/>
        </w:rPr>
        <w:t xml:space="preserve">trifluorethyleen </w:t>
      </w:r>
      <w:r w:rsidR="000F5603" w:rsidRPr="00D21D8C">
        <w:rPr>
          <w:rFonts w:asciiTheme="majorBidi" w:hAnsiTheme="majorBidi" w:cstheme="majorBidi"/>
          <w:color w:val="000000"/>
          <w:szCs w:val="22"/>
          <w:u w:color="FFFFFF"/>
        </w:rPr>
        <w:t xml:space="preserve">afgesloten </w:t>
      </w:r>
      <w:r w:rsidR="00DA418A" w:rsidRPr="00D21D8C">
        <w:rPr>
          <w:rFonts w:asciiTheme="majorBidi" w:hAnsiTheme="majorBidi" w:cstheme="majorBidi"/>
          <w:color w:val="000000"/>
          <w:szCs w:val="22"/>
          <w:u w:color="FFFFFF"/>
        </w:rPr>
        <w:t>met een aluminiumfolie in verpakkingen van 28, 30 of 84 filmomhulde tabletten.</w:t>
      </w:r>
    </w:p>
    <w:p w14:paraId="029761D1" w14:textId="77777777" w:rsidR="001A274F" w:rsidRPr="00D21D8C" w:rsidRDefault="001A274F">
      <w:pPr>
        <w:rPr>
          <w:rFonts w:asciiTheme="majorBidi" w:hAnsiTheme="majorBidi" w:cstheme="majorBidi"/>
          <w:szCs w:val="22"/>
        </w:rPr>
      </w:pPr>
    </w:p>
    <w:p w14:paraId="04904D1F" w14:textId="77777777" w:rsidR="001A274F" w:rsidRPr="00D21D8C" w:rsidRDefault="00DA418A">
      <w:pPr>
        <w:rPr>
          <w:rFonts w:asciiTheme="majorBidi" w:hAnsiTheme="majorBidi" w:cstheme="majorBidi"/>
          <w:szCs w:val="22"/>
          <w:u w:val="single"/>
          <w:lang w:eastAsia="en-GB"/>
        </w:rPr>
      </w:pPr>
      <w:r w:rsidRPr="00D21D8C">
        <w:rPr>
          <w:rFonts w:asciiTheme="majorBidi" w:hAnsiTheme="majorBidi" w:cstheme="majorBidi"/>
          <w:color w:val="000000"/>
          <w:szCs w:val="22"/>
          <w:u w:val="single" w:color="000000"/>
        </w:rPr>
        <w:t>Jaypirca 100 mg filmomhulde tabletten</w:t>
      </w:r>
      <w:r w:rsidRPr="00D21D8C">
        <w:rPr>
          <w:rFonts w:asciiTheme="majorBidi" w:hAnsiTheme="majorBidi" w:cstheme="majorBidi"/>
          <w:color w:val="000000"/>
          <w:szCs w:val="22"/>
          <w:u w:val="single" w:color="FFFFFF"/>
        </w:rPr>
        <w:br/>
      </w:r>
    </w:p>
    <w:p w14:paraId="2EEB489A" w14:textId="50BFAD8E" w:rsidR="001A274F" w:rsidRPr="00D21D8C" w:rsidRDefault="00C70336">
      <w:pPr>
        <w:rPr>
          <w:rFonts w:asciiTheme="majorBidi" w:hAnsiTheme="majorBidi" w:cstheme="majorBidi"/>
          <w:bCs/>
          <w:szCs w:val="22"/>
        </w:rPr>
      </w:pPr>
      <w:r w:rsidRPr="00D21D8C">
        <w:rPr>
          <w:rFonts w:asciiTheme="majorBidi" w:hAnsiTheme="majorBidi" w:cstheme="majorBidi"/>
          <w:color w:val="000000"/>
          <w:szCs w:val="22"/>
          <w:u w:color="FFFFFF"/>
        </w:rPr>
        <w:t>Blisterverpakkingen van p</w:t>
      </w:r>
      <w:r w:rsidR="00DA418A" w:rsidRPr="00D21D8C">
        <w:rPr>
          <w:rFonts w:asciiTheme="majorBidi" w:hAnsiTheme="majorBidi" w:cstheme="majorBidi"/>
          <w:color w:val="000000"/>
          <w:szCs w:val="22"/>
          <w:u w:color="FFFFFF"/>
        </w:rPr>
        <w:t>olyvinylchloride/</w:t>
      </w:r>
      <w:r w:rsidRPr="00D21D8C">
        <w:rPr>
          <w:rFonts w:asciiTheme="majorBidi" w:hAnsiTheme="majorBidi" w:cstheme="majorBidi"/>
          <w:color w:val="000000"/>
          <w:szCs w:val="22"/>
          <w:u w:color="FFFFFF"/>
        </w:rPr>
        <w:t xml:space="preserve">polychloortrifluorethyleen </w:t>
      </w:r>
      <w:r w:rsidR="000F5603" w:rsidRPr="00D21D8C">
        <w:rPr>
          <w:rFonts w:asciiTheme="majorBidi" w:hAnsiTheme="majorBidi" w:cstheme="majorBidi"/>
          <w:color w:val="000000"/>
          <w:szCs w:val="22"/>
          <w:u w:color="FFFFFF"/>
        </w:rPr>
        <w:t xml:space="preserve">afgesloten </w:t>
      </w:r>
      <w:r w:rsidR="00DA418A" w:rsidRPr="00D21D8C">
        <w:rPr>
          <w:rFonts w:asciiTheme="majorBidi" w:hAnsiTheme="majorBidi" w:cstheme="majorBidi"/>
          <w:color w:val="000000"/>
          <w:szCs w:val="22"/>
          <w:u w:color="FFFFFF"/>
        </w:rPr>
        <w:t xml:space="preserve">met een aluminiumfolie in verpakkingen van 28, 30, 56, 60, 84 of 168 filmomhulde tabletten. </w:t>
      </w:r>
    </w:p>
    <w:p w14:paraId="134CF81B" w14:textId="77777777" w:rsidR="001A274F" w:rsidRPr="00D21D8C" w:rsidRDefault="001A274F">
      <w:pPr>
        <w:spacing w:line="240" w:lineRule="auto"/>
        <w:outlineLvl w:val="0"/>
        <w:rPr>
          <w:rFonts w:asciiTheme="majorBidi" w:hAnsiTheme="majorBidi" w:cstheme="majorBidi"/>
          <w:bCs/>
          <w:szCs w:val="22"/>
        </w:rPr>
      </w:pPr>
    </w:p>
    <w:p w14:paraId="0AD6E8EF" w14:textId="77777777" w:rsidR="001A274F" w:rsidRPr="00D21D8C" w:rsidRDefault="00DA418A">
      <w:pPr>
        <w:spacing w:line="240" w:lineRule="auto"/>
        <w:rPr>
          <w:rFonts w:asciiTheme="majorBidi" w:hAnsiTheme="majorBidi" w:cstheme="majorBidi"/>
          <w:szCs w:val="22"/>
        </w:rPr>
      </w:pPr>
      <w:r w:rsidRPr="00D21D8C">
        <w:rPr>
          <w:rFonts w:asciiTheme="majorBidi" w:hAnsiTheme="majorBidi" w:cstheme="majorBidi"/>
          <w:color w:val="000000"/>
          <w:szCs w:val="22"/>
          <w:u w:color="FFFFFF"/>
        </w:rPr>
        <w:t>Niet alle genoemde verpakkingsgrootten worden in de handel gebracht.</w:t>
      </w:r>
    </w:p>
    <w:p w14:paraId="71B2CEBB" w14:textId="77777777" w:rsidR="001A274F" w:rsidRPr="00D21D8C" w:rsidRDefault="001A274F">
      <w:pPr>
        <w:spacing w:line="240" w:lineRule="auto"/>
        <w:rPr>
          <w:rFonts w:asciiTheme="majorBidi" w:hAnsiTheme="majorBidi" w:cstheme="majorBidi"/>
          <w:szCs w:val="22"/>
        </w:rPr>
      </w:pPr>
    </w:p>
    <w:p w14:paraId="73B1E370" w14:textId="0875441F" w:rsidR="001A274F" w:rsidRPr="00D21D8C" w:rsidRDefault="00DA418A">
      <w:pPr>
        <w:keepNext/>
        <w:spacing w:line="240" w:lineRule="auto"/>
        <w:ind w:left="567" w:hanging="567"/>
        <w:outlineLvl w:val="0"/>
        <w:rPr>
          <w:rFonts w:asciiTheme="majorBidi" w:hAnsiTheme="majorBidi" w:cstheme="majorBidi"/>
          <w:szCs w:val="22"/>
        </w:rPr>
      </w:pPr>
      <w:r w:rsidRPr="00D21D8C">
        <w:rPr>
          <w:rFonts w:asciiTheme="majorBidi" w:hAnsiTheme="majorBidi" w:cstheme="majorBidi"/>
          <w:b/>
          <w:bCs/>
          <w:color w:val="000000"/>
          <w:szCs w:val="22"/>
          <w:u w:color="FFFFFF"/>
        </w:rPr>
        <w:t>6.6</w:t>
      </w:r>
      <w:r w:rsidRPr="00D21D8C">
        <w:rPr>
          <w:rFonts w:asciiTheme="majorBidi" w:hAnsiTheme="majorBidi" w:cstheme="majorBidi"/>
          <w:b/>
          <w:bCs/>
          <w:color w:val="000000"/>
          <w:szCs w:val="22"/>
          <w:u w:color="FFFFFF"/>
        </w:rPr>
        <w:tab/>
        <w:t>Speciale voorzorgsmaatregelen voor het verwijderen</w:t>
      </w:r>
      <w:r w:rsidR="0011019E" w:rsidRPr="00D21D8C">
        <w:rPr>
          <w:rFonts w:asciiTheme="majorBidi" w:hAnsiTheme="majorBidi" w:cstheme="majorBidi"/>
          <w:b/>
          <w:bCs/>
          <w:color w:val="000000"/>
          <w:szCs w:val="22"/>
          <w:u w:color="FFFFFF"/>
        </w:rPr>
        <w:fldChar w:fldCharType="begin"/>
      </w:r>
      <w:r w:rsidR="0011019E" w:rsidRPr="00D21D8C">
        <w:rPr>
          <w:rFonts w:asciiTheme="majorBidi" w:hAnsiTheme="majorBidi" w:cstheme="majorBidi"/>
          <w:b/>
          <w:bCs/>
          <w:color w:val="000000"/>
          <w:szCs w:val="22"/>
          <w:u w:color="FFFFFF"/>
        </w:rPr>
        <w:instrText xml:space="preserve"> DOCVARIABLE vault_nd_1eac12fd-92ea-4e78-aadf-9c0457bb7e64 \* MERGEFORMAT </w:instrText>
      </w:r>
      <w:r w:rsidR="0011019E" w:rsidRPr="00D21D8C">
        <w:rPr>
          <w:rFonts w:asciiTheme="majorBidi" w:hAnsiTheme="majorBidi" w:cstheme="majorBidi"/>
          <w:b/>
          <w:bCs/>
          <w:color w:val="000000"/>
          <w:szCs w:val="22"/>
          <w:u w:color="FFFFFF"/>
        </w:rPr>
        <w:fldChar w:fldCharType="separate"/>
      </w:r>
      <w:r w:rsidR="0011019E" w:rsidRPr="00D21D8C">
        <w:rPr>
          <w:rFonts w:asciiTheme="majorBidi" w:hAnsiTheme="majorBidi" w:cstheme="majorBidi"/>
          <w:b/>
          <w:bCs/>
          <w:color w:val="000000"/>
          <w:szCs w:val="22"/>
          <w:u w:color="FFFFFF"/>
        </w:rPr>
        <w:t xml:space="preserve"> </w:t>
      </w:r>
      <w:r w:rsidR="0011019E" w:rsidRPr="00D21D8C">
        <w:rPr>
          <w:rFonts w:asciiTheme="majorBidi" w:hAnsiTheme="majorBidi" w:cstheme="majorBidi"/>
          <w:b/>
          <w:bCs/>
          <w:color w:val="000000"/>
          <w:szCs w:val="22"/>
          <w:u w:color="FFFFFF"/>
        </w:rPr>
        <w:fldChar w:fldCharType="end"/>
      </w:r>
    </w:p>
    <w:p w14:paraId="0A6F3FE5" w14:textId="77777777" w:rsidR="001A274F" w:rsidRPr="00D21D8C" w:rsidRDefault="001A274F">
      <w:pPr>
        <w:keepNext/>
        <w:spacing w:line="240" w:lineRule="auto"/>
        <w:rPr>
          <w:rFonts w:asciiTheme="majorBidi" w:hAnsiTheme="majorBidi" w:cstheme="majorBidi"/>
          <w:szCs w:val="22"/>
        </w:rPr>
      </w:pPr>
    </w:p>
    <w:p w14:paraId="68F2DF93" w14:textId="77777777" w:rsidR="001A274F" w:rsidRPr="00D21D8C" w:rsidRDefault="00DA418A">
      <w:pPr>
        <w:keepNext/>
        <w:spacing w:line="240" w:lineRule="auto"/>
        <w:rPr>
          <w:rFonts w:asciiTheme="majorBidi" w:hAnsiTheme="majorBidi" w:cstheme="majorBidi"/>
          <w:szCs w:val="22"/>
        </w:rPr>
      </w:pPr>
      <w:r w:rsidRPr="00D21D8C">
        <w:rPr>
          <w:rFonts w:asciiTheme="majorBidi" w:hAnsiTheme="majorBidi" w:cstheme="majorBidi"/>
          <w:color w:val="000000"/>
          <w:szCs w:val="22"/>
          <w:u w:color="FFFFFF"/>
        </w:rPr>
        <w:t xml:space="preserve">Al het ongebruikte geneesmiddel of afvalmateriaal dient te worden vernietigd overeenkomstig lokale voorschriften. </w:t>
      </w:r>
      <w:bookmarkStart w:id="6" w:name="OLE_LINK1"/>
      <w:bookmarkEnd w:id="6"/>
    </w:p>
    <w:p w14:paraId="4877EAC3" w14:textId="77777777" w:rsidR="001A274F" w:rsidRPr="00D21D8C" w:rsidRDefault="001A274F">
      <w:pPr>
        <w:spacing w:line="240" w:lineRule="auto"/>
        <w:rPr>
          <w:rFonts w:asciiTheme="majorBidi" w:hAnsiTheme="majorBidi" w:cstheme="majorBidi"/>
          <w:szCs w:val="22"/>
        </w:rPr>
      </w:pPr>
    </w:p>
    <w:p w14:paraId="3B7604F2" w14:textId="77777777" w:rsidR="001A274F" w:rsidRPr="00D21D8C" w:rsidRDefault="001A274F">
      <w:pPr>
        <w:spacing w:line="240" w:lineRule="auto"/>
        <w:rPr>
          <w:rFonts w:asciiTheme="majorBidi" w:hAnsiTheme="majorBidi" w:cstheme="majorBidi"/>
          <w:szCs w:val="22"/>
        </w:rPr>
      </w:pPr>
    </w:p>
    <w:p w14:paraId="39A8840B" w14:textId="77777777" w:rsidR="001A274F" w:rsidRPr="00D21D8C" w:rsidRDefault="00DA418A">
      <w:pPr>
        <w:keepNext/>
        <w:spacing w:line="240" w:lineRule="auto"/>
        <w:ind w:left="567" w:hanging="567"/>
        <w:rPr>
          <w:rFonts w:asciiTheme="majorBidi" w:hAnsiTheme="majorBidi" w:cstheme="majorBidi"/>
          <w:szCs w:val="22"/>
        </w:rPr>
      </w:pPr>
      <w:r w:rsidRPr="00D21D8C">
        <w:rPr>
          <w:rFonts w:asciiTheme="majorBidi" w:hAnsiTheme="majorBidi" w:cstheme="majorBidi"/>
          <w:b/>
          <w:bCs/>
          <w:color w:val="000000"/>
          <w:szCs w:val="22"/>
          <w:u w:color="FFFFFF"/>
        </w:rPr>
        <w:t>7.</w:t>
      </w:r>
      <w:r w:rsidRPr="00D21D8C">
        <w:rPr>
          <w:rFonts w:asciiTheme="majorBidi" w:hAnsiTheme="majorBidi" w:cstheme="majorBidi"/>
          <w:b/>
          <w:bCs/>
          <w:color w:val="000000"/>
          <w:szCs w:val="22"/>
          <w:u w:color="FFFFFF"/>
        </w:rPr>
        <w:tab/>
        <w:t>HOUDER VAN DE VERGUNNING VOOR HET IN DE HANDEL BRENGEN</w:t>
      </w:r>
    </w:p>
    <w:p w14:paraId="10DE6274" w14:textId="77777777" w:rsidR="001A274F" w:rsidRPr="00D21D8C" w:rsidRDefault="001A274F">
      <w:pPr>
        <w:keepNext/>
        <w:spacing w:line="240" w:lineRule="auto"/>
        <w:rPr>
          <w:rFonts w:asciiTheme="majorBidi" w:hAnsiTheme="majorBidi" w:cstheme="majorBidi"/>
          <w:szCs w:val="22"/>
        </w:rPr>
      </w:pPr>
    </w:p>
    <w:p w14:paraId="3E73C86B" w14:textId="77777777" w:rsidR="001A274F" w:rsidRPr="003C1508" w:rsidRDefault="00DA418A">
      <w:pPr>
        <w:keepNext/>
        <w:spacing w:line="240" w:lineRule="auto"/>
        <w:rPr>
          <w:rFonts w:asciiTheme="majorBidi" w:hAnsiTheme="majorBidi" w:cstheme="majorBidi"/>
          <w:szCs w:val="22"/>
        </w:rPr>
      </w:pPr>
      <w:r w:rsidRPr="003C1508">
        <w:rPr>
          <w:rFonts w:asciiTheme="majorBidi" w:hAnsiTheme="majorBidi" w:cstheme="majorBidi"/>
          <w:color w:val="000000"/>
          <w:szCs w:val="22"/>
          <w:u w:color="FFFFFF"/>
        </w:rPr>
        <w:t>Eli Lilly Nederland B.V.</w:t>
      </w:r>
    </w:p>
    <w:p w14:paraId="7ADC8743" w14:textId="77777777" w:rsidR="001A274F" w:rsidRPr="003C1508" w:rsidRDefault="00DA418A">
      <w:pPr>
        <w:keepNext/>
        <w:spacing w:line="240" w:lineRule="auto"/>
        <w:rPr>
          <w:rFonts w:asciiTheme="majorBidi" w:hAnsiTheme="majorBidi" w:cstheme="majorBidi"/>
          <w:szCs w:val="22"/>
        </w:rPr>
      </w:pPr>
      <w:r w:rsidRPr="003C1508">
        <w:rPr>
          <w:rFonts w:asciiTheme="majorBidi" w:hAnsiTheme="majorBidi" w:cstheme="majorBidi"/>
          <w:color w:val="000000"/>
          <w:szCs w:val="22"/>
          <w:u w:color="FFFFFF"/>
        </w:rPr>
        <w:t>Papendorpseweg 83</w:t>
      </w:r>
    </w:p>
    <w:p w14:paraId="793DFFBC" w14:textId="77777777" w:rsidR="001A274F" w:rsidRPr="00D21D8C" w:rsidRDefault="00DA418A">
      <w:pPr>
        <w:spacing w:line="240" w:lineRule="auto"/>
        <w:rPr>
          <w:rFonts w:asciiTheme="majorBidi" w:hAnsiTheme="majorBidi" w:cstheme="majorBidi"/>
          <w:szCs w:val="22"/>
        </w:rPr>
      </w:pPr>
      <w:r w:rsidRPr="00D21D8C">
        <w:rPr>
          <w:rFonts w:asciiTheme="majorBidi" w:hAnsiTheme="majorBidi" w:cstheme="majorBidi"/>
          <w:color w:val="000000"/>
          <w:szCs w:val="22"/>
          <w:u w:color="FFFFFF"/>
        </w:rPr>
        <w:t>3528 BJ Utrecht</w:t>
      </w:r>
    </w:p>
    <w:p w14:paraId="5A88CCCD" w14:textId="77777777" w:rsidR="001A274F" w:rsidRPr="00D21D8C" w:rsidRDefault="00DA418A">
      <w:pPr>
        <w:spacing w:line="240" w:lineRule="auto"/>
        <w:rPr>
          <w:rFonts w:asciiTheme="majorBidi" w:hAnsiTheme="majorBidi" w:cstheme="majorBidi"/>
          <w:szCs w:val="22"/>
        </w:rPr>
      </w:pPr>
      <w:r w:rsidRPr="00D21D8C">
        <w:rPr>
          <w:rFonts w:asciiTheme="majorBidi" w:hAnsiTheme="majorBidi" w:cstheme="majorBidi"/>
          <w:color w:val="000000"/>
          <w:szCs w:val="22"/>
          <w:u w:color="FFFFFF"/>
        </w:rPr>
        <w:t>Nederland</w:t>
      </w:r>
    </w:p>
    <w:p w14:paraId="4D25B7E7" w14:textId="77777777" w:rsidR="001A274F" w:rsidRPr="00D21D8C" w:rsidRDefault="001A274F">
      <w:pPr>
        <w:spacing w:line="240" w:lineRule="auto"/>
        <w:rPr>
          <w:rFonts w:asciiTheme="majorBidi" w:hAnsiTheme="majorBidi" w:cstheme="majorBidi"/>
          <w:szCs w:val="22"/>
        </w:rPr>
      </w:pPr>
    </w:p>
    <w:p w14:paraId="3B0CF42E" w14:textId="77777777" w:rsidR="001A274F" w:rsidRPr="00D21D8C" w:rsidRDefault="001A274F">
      <w:pPr>
        <w:spacing w:line="240" w:lineRule="auto"/>
        <w:rPr>
          <w:rFonts w:asciiTheme="majorBidi" w:hAnsiTheme="majorBidi" w:cstheme="majorBidi"/>
          <w:szCs w:val="22"/>
        </w:rPr>
      </w:pPr>
    </w:p>
    <w:p w14:paraId="7B006BB0" w14:textId="77777777" w:rsidR="001A274F" w:rsidRPr="00D21D8C" w:rsidRDefault="00DA418A">
      <w:pPr>
        <w:spacing w:line="240" w:lineRule="auto"/>
        <w:ind w:left="567" w:hanging="567"/>
        <w:rPr>
          <w:rFonts w:asciiTheme="majorBidi" w:hAnsiTheme="majorBidi" w:cstheme="majorBidi"/>
          <w:b/>
          <w:szCs w:val="22"/>
        </w:rPr>
      </w:pPr>
      <w:r w:rsidRPr="00D21D8C">
        <w:rPr>
          <w:rFonts w:asciiTheme="majorBidi" w:hAnsiTheme="majorBidi" w:cstheme="majorBidi"/>
          <w:b/>
          <w:bCs/>
          <w:color w:val="000000"/>
          <w:szCs w:val="22"/>
          <w:u w:color="FFFFFF"/>
        </w:rPr>
        <w:t>8.</w:t>
      </w:r>
      <w:r w:rsidRPr="00D21D8C">
        <w:rPr>
          <w:rFonts w:asciiTheme="majorBidi" w:hAnsiTheme="majorBidi" w:cstheme="majorBidi"/>
          <w:b/>
          <w:bCs/>
          <w:color w:val="000000"/>
          <w:szCs w:val="22"/>
          <w:u w:color="FFFFFF"/>
        </w:rPr>
        <w:tab/>
        <w:t>NUMMER(S) VAN DE VERGUNNING VOOR HET IN DE HANDEL BRENGEN</w:t>
      </w:r>
    </w:p>
    <w:p w14:paraId="5A303D1E" w14:textId="0CAEEE5D" w:rsidR="001A274F" w:rsidRPr="00D21D8C" w:rsidRDefault="001A274F">
      <w:pPr>
        <w:spacing w:line="240" w:lineRule="auto"/>
        <w:rPr>
          <w:rFonts w:asciiTheme="majorBidi" w:hAnsiTheme="majorBidi" w:cstheme="majorBidi"/>
          <w:szCs w:val="22"/>
        </w:rPr>
      </w:pPr>
    </w:p>
    <w:p w14:paraId="5CA8A078" w14:textId="77777777" w:rsidR="005C677C" w:rsidRPr="000D0EC8" w:rsidRDefault="005C677C" w:rsidP="005C677C">
      <w:pPr>
        <w:spacing w:line="240" w:lineRule="auto"/>
        <w:rPr>
          <w:rFonts w:asciiTheme="majorBidi" w:hAnsiTheme="majorBidi" w:cstheme="majorBidi"/>
          <w:szCs w:val="22"/>
          <w:lang w:val="fr-BE"/>
        </w:rPr>
      </w:pPr>
      <w:r w:rsidRPr="000D0EC8">
        <w:rPr>
          <w:rFonts w:asciiTheme="majorBidi" w:hAnsiTheme="majorBidi" w:cstheme="majorBidi"/>
          <w:szCs w:val="22"/>
          <w:lang w:val="fr-BE"/>
        </w:rPr>
        <w:t>EU/1/23/1738/001</w:t>
      </w:r>
    </w:p>
    <w:p w14:paraId="4C210EFC" w14:textId="77777777" w:rsidR="005C677C" w:rsidRPr="000D0EC8" w:rsidRDefault="005C677C" w:rsidP="005C677C">
      <w:pPr>
        <w:spacing w:line="240" w:lineRule="auto"/>
        <w:rPr>
          <w:rFonts w:asciiTheme="majorBidi" w:hAnsiTheme="majorBidi" w:cstheme="majorBidi"/>
          <w:szCs w:val="22"/>
          <w:lang w:val="fr-BE"/>
        </w:rPr>
      </w:pPr>
      <w:r w:rsidRPr="000D0EC8">
        <w:rPr>
          <w:rFonts w:asciiTheme="majorBidi" w:hAnsiTheme="majorBidi" w:cstheme="majorBidi"/>
          <w:szCs w:val="22"/>
          <w:lang w:val="fr-BE"/>
        </w:rPr>
        <w:t>EU/1/23/1738/002</w:t>
      </w:r>
    </w:p>
    <w:p w14:paraId="2B48A8E6" w14:textId="77777777" w:rsidR="005C677C" w:rsidRPr="000D0EC8" w:rsidRDefault="005C677C" w:rsidP="005C677C">
      <w:pPr>
        <w:spacing w:line="240" w:lineRule="auto"/>
        <w:rPr>
          <w:rFonts w:asciiTheme="majorBidi" w:hAnsiTheme="majorBidi" w:cstheme="majorBidi"/>
          <w:szCs w:val="22"/>
          <w:lang w:val="fr-BE"/>
        </w:rPr>
      </w:pPr>
      <w:r w:rsidRPr="000D0EC8">
        <w:rPr>
          <w:rFonts w:asciiTheme="majorBidi" w:hAnsiTheme="majorBidi" w:cstheme="majorBidi"/>
          <w:szCs w:val="22"/>
          <w:lang w:val="fr-BE"/>
        </w:rPr>
        <w:t>EU/1/23/1738/003</w:t>
      </w:r>
    </w:p>
    <w:p w14:paraId="1D8440BF" w14:textId="77777777" w:rsidR="005C677C" w:rsidRPr="000D0EC8" w:rsidRDefault="005C677C" w:rsidP="005C677C">
      <w:pPr>
        <w:spacing w:line="240" w:lineRule="auto"/>
        <w:rPr>
          <w:rFonts w:asciiTheme="majorBidi" w:hAnsiTheme="majorBidi" w:cstheme="majorBidi"/>
          <w:szCs w:val="22"/>
          <w:lang w:val="fr-BE"/>
        </w:rPr>
      </w:pPr>
      <w:r w:rsidRPr="000D0EC8">
        <w:rPr>
          <w:rFonts w:asciiTheme="majorBidi" w:hAnsiTheme="majorBidi" w:cstheme="majorBidi"/>
          <w:szCs w:val="22"/>
          <w:lang w:val="fr-BE"/>
        </w:rPr>
        <w:t>EU/1/23/1738/004</w:t>
      </w:r>
    </w:p>
    <w:p w14:paraId="75B493E9" w14:textId="77777777" w:rsidR="005C677C" w:rsidRPr="000D0EC8" w:rsidRDefault="005C677C" w:rsidP="005C677C">
      <w:pPr>
        <w:spacing w:line="240" w:lineRule="auto"/>
        <w:rPr>
          <w:rFonts w:asciiTheme="majorBidi" w:hAnsiTheme="majorBidi" w:cstheme="majorBidi"/>
          <w:szCs w:val="22"/>
          <w:lang w:val="fr-BE"/>
        </w:rPr>
      </w:pPr>
      <w:r w:rsidRPr="000D0EC8">
        <w:rPr>
          <w:rFonts w:asciiTheme="majorBidi" w:hAnsiTheme="majorBidi" w:cstheme="majorBidi"/>
          <w:szCs w:val="22"/>
          <w:lang w:val="fr-BE"/>
        </w:rPr>
        <w:t>EU/1/23/1738/005</w:t>
      </w:r>
    </w:p>
    <w:p w14:paraId="2B9B3826" w14:textId="77777777" w:rsidR="005C677C" w:rsidRPr="00D21D8C" w:rsidRDefault="005C677C" w:rsidP="005C677C">
      <w:pPr>
        <w:spacing w:line="240" w:lineRule="auto"/>
        <w:rPr>
          <w:rFonts w:asciiTheme="majorBidi" w:hAnsiTheme="majorBidi" w:cstheme="majorBidi"/>
          <w:szCs w:val="22"/>
        </w:rPr>
      </w:pPr>
      <w:r w:rsidRPr="00D21D8C">
        <w:rPr>
          <w:rFonts w:asciiTheme="majorBidi" w:hAnsiTheme="majorBidi" w:cstheme="majorBidi"/>
          <w:szCs w:val="22"/>
        </w:rPr>
        <w:t>EU/1/23/1738/006</w:t>
      </w:r>
    </w:p>
    <w:p w14:paraId="7CC5CFDC" w14:textId="77777777" w:rsidR="005C677C" w:rsidRPr="00D21D8C" w:rsidRDefault="005C677C" w:rsidP="005C677C">
      <w:pPr>
        <w:spacing w:line="240" w:lineRule="auto"/>
        <w:rPr>
          <w:rFonts w:asciiTheme="majorBidi" w:hAnsiTheme="majorBidi" w:cstheme="majorBidi"/>
          <w:szCs w:val="22"/>
        </w:rPr>
      </w:pPr>
      <w:r w:rsidRPr="00D21D8C">
        <w:rPr>
          <w:rFonts w:asciiTheme="majorBidi" w:hAnsiTheme="majorBidi" w:cstheme="majorBidi"/>
          <w:szCs w:val="22"/>
        </w:rPr>
        <w:t>EU/1/23/1738/007</w:t>
      </w:r>
    </w:p>
    <w:p w14:paraId="4BC424C1" w14:textId="77777777" w:rsidR="005C677C" w:rsidRPr="00D21D8C" w:rsidRDefault="005C677C" w:rsidP="005C677C">
      <w:pPr>
        <w:spacing w:line="240" w:lineRule="auto"/>
        <w:rPr>
          <w:rFonts w:asciiTheme="majorBidi" w:hAnsiTheme="majorBidi" w:cstheme="majorBidi"/>
          <w:szCs w:val="22"/>
        </w:rPr>
      </w:pPr>
      <w:r w:rsidRPr="00D21D8C">
        <w:rPr>
          <w:rFonts w:asciiTheme="majorBidi" w:hAnsiTheme="majorBidi" w:cstheme="majorBidi"/>
          <w:szCs w:val="22"/>
        </w:rPr>
        <w:t>EU/1/23/1738/008</w:t>
      </w:r>
    </w:p>
    <w:p w14:paraId="2DFB1298" w14:textId="60C265A9" w:rsidR="005C677C" w:rsidRPr="00D21D8C" w:rsidRDefault="005C677C" w:rsidP="005C677C">
      <w:pPr>
        <w:spacing w:line="240" w:lineRule="auto"/>
        <w:rPr>
          <w:rFonts w:asciiTheme="majorBidi" w:hAnsiTheme="majorBidi" w:cstheme="majorBidi"/>
          <w:szCs w:val="22"/>
        </w:rPr>
      </w:pPr>
      <w:r w:rsidRPr="00D21D8C">
        <w:rPr>
          <w:rFonts w:asciiTheme="majorBidi" w:hAnsiTheme="majorBidi" w:cstheme="majorBidi"/>
          <w:szCs w:val="22"/>
        </w:rPr>
        <w:t>EU/1/23/1738/009</w:t>
      </w:r>
    </w:p>
    <w:p w14:paraId="1CC2F0F8" w14:textId="77777777" w:rsidR="005C677C" w:rsidRPr="00D21D8C" w:rsidRDefault="005C677C" w:rsidP="005C677C">
      <w:pPr>
        <w:spacing w:line="240" w:lineRule="auto"/>
        <w:rPr>
          <w:rFonts w:asciiTheme="majorBidi" w:hAnsiTheme="majorBidi" w:cstheme="majorBidi"/>
          <w:szCs w:val="22"/>
        </w:rPr>
      </w:pPr>
    </w:p>
    <w:p w14:paraId="07A57D3F" w14:textId="77777777" w:rsidR="001A274F" w:rsidRPr="00D21D8C" w:rsidRDefault="001A274F">
      <w:pPr>
        <w:spacing w:line="240" w:lineRule="auto"/>
        <w:rPr>
          <w:rFonts w:asciiTheme="majorBidi" w:hAnsiTheme="majorBidi" w:cstheme="majorBidi"/>
          <w:szCs w:val="22"/>
        </w:rPr>
      </w:pPr>
    </w:p>
    <w:p w14:paraId="72C28917" w14:textId="77777777" w:rsidR="001A274F" w:rsidRPr="00D21D8C" w:rsidRDefault="00DA418A">
      <w:pPr>
        <w:spacing w:line="240" w:lineRule="auto"/>
        <w:ind w:left="567" w:hanging="567"/>
        <w:rPr>
          <w:rFonts w:asciiTheme="majorBidi" w:hAnsiTheme="majorBidi" w:cstheme="majorBidi"/>
          <w:szCs w:val="22"/>
        </w:rPr>
      </w:pPr>
      <w:r w:rsidRPr="00D21D8C">
        <w:rPr>
          <w:rFonts w:asciiTheme="majorBidi" w:hAnsiTheme="majorBidi" w:cstheme="majorBidi"/>
          <w:b/>
          <w:bCs/>
          <w:color w:val="000000"/>
          <w:szCs w:val="22"/>
          <w:u w:color="FFFFFF"/>
        </w:rPr>
        <w:t>9.</w:t>
      </w:r>
      <w:r w:rsidRPr="00D21D8C">
        <w:rPr>
          <w:rFonts w:asciiTheme="majorBidi" w:hAnsiTheme="majorBidi" w:cstheme="majorBidi"/>
          <w:b/>
          <w:bCs/>
          <w:color w:val="000000"/>
          <w:szCs w:val="22"/>
          <w:u w:color="FFFFFF"/>
        </w:rPr>
        <w:tab/>
        <w:t>DATUM VAN EERSTE VERLENING VAN DE VERGUNNING/VERLENGING VAN DE VERGUNNING</w:t>
      </w:r>
    </w:p>
    <w:p w14:paraId="2C1221D5" w14:textId="77777777" w:rsidR="001A274F" w:rsidRPr="00D21D8C" w:rsidRDefault="001A274F">
      <w:pPr>
        <w:spacing w:line="240" w:lineRule="auto"/>
        <w:rPr>
          <w:rFonts w:asciiTheme="majorBidi" w:hAnsiTheme="majorBidi" w:cstheme="majorBidi"/>
          <w:szCs w:val="22"/>
        </w:rPr>
      </w:pPr>
    </w:p>
    <w:p w14:paraId="2C819CE2" w14:textId="60EECF2C" w:rsidR="0027582E" w:rsidRPr="00D21D8C" w:rsidRDefault="0027582E">
      <w:pPr>
        <w:spacing w:line="240" w:lineRule="auto"/>
        <w:rPr>
          <w:rFonts w:asciiTheme="majorBidi" w:hAnsiTheme="majorBidi" w:cstheme="majorBidi"/>
          <w:szCs w:val="22"/>
        </w:rPr>
      </w:pPr>
      <w:r w:rsidRPr="00D21D8C">
        <w:rPr>
          <w:rFonts w:asciiTheme="majorBidi" w:hAnsiTheme="majorBidi" w:cstheme="majorBidi"/>
          <w:szCs w:val="22"/>
        </w:rPr>
        <w:t>Datum van eerste verlening van de vergunning: 30 oktober 2023</w:t>
      </w:r>
    </w:p>
    <w:p w14:paraId="2F27EAC6" w14:textId="02525A9A" w:rsidR="0027582E" w:rsidRPr="00D21D8C" w:rsidRDefault="00580DAA">
      <w:pPr>
        <w:spacing w:line="240" w:lineRule="auto"/>
        <w:rPr>
          <w:rFonts w:asciiTheme="majorBidi" w:hAnsiTheme="majorBidi" w:cstheme="majorBidi"/>
          <w:szCs w:val="22"/>
        </w:rPr>
      </w:pPr>
      <w:r w:rsidRPr="00D21D8C">
        <w:rPr>
          <w:rFonts w:asciiTheme="majorBidi" w:hAnsiTheme="majorBidi" w:cstheme="majorBidi"/>
          <w:szCs w:val="22"/>
        </w:rPr>
        <w:t>Datum van laatste verlenging: 16 augustus 2024</w:t>
      </w:r>
    </w:p>
    <w:p w14:paraId="7F4B8874" w14:textId="77777777" w:rsidR="00580DAA" w:rsidRPr="00D21D8C" w:rsidRDefault="00580DAA">
      <w:pPr>
        <w:spacing w:line="240" w:lineRule="auto"/>
        <w:rPr>
          <w:rFonts w:asciiTheme="majorBidi" w:hAnsiTheme="majorBidi" w:cstheme="majorBidi"/>
          <w:szCs w:val="22"/>
        </w:rPr>
      </w:pPr>
    </w:p>
    <w:p w14:paraId="4EA8A033" w14:textId="77777777" w:rsidR="001A274F" w:rsidRPr="00D21D8C" w:rsidRDefault="001A274F">
      <w:pPr>
        <w:spacing w:line="240" w:lineRule="auto"/>
        <w:rPr>
          <w:rFonts w:asciiTheme="majorBidi" w:hAnsiTheme="majorBidi" w:cstheme="majorBidi"/>
          <w:szCs w:val="22"/>
        </w:rPr>
      </w:pPr>
    </w:p>
    <w:p w14:paraId="3616AABB" w14:textId="1A123896" w:rsidR="001A274F" w:rsidRPr="00D21D8C" w:rsidRDefault="00DA418A">
      <w:pPr>
        <w:spacing w:line="240" w:lineRule="auto"/>
        <w:ind w:left="567" w:hanging="567"/>
        <w:rPr>
          <w:rFonts w:asciiTheme="majorBidi" w:hAnsiTheme="majorBidi" w:cstheme="majorBidi"/>
          <w:b/>
          <w:szCs w:val="22"/>
        </w:rPr>
      </w:pPr>
      <w:r w:rsidRPr="00D21D8C">
        <w:rPr>
          <w:rFonts w:asciiTheme="majorBidi" w:hAnsiTheme="majorBidi" w:cstheme="majorBidi"/>
          <w:b/>
          <w:bCs/>
          <w:color w:val="000000"/>
          <w:szCs w:val="22"/>
          <w:u w:color="FFFFFF"/>
        </w:rPr>
        <w:t>10.</w:t>
      </w:r>
      <w:r w:rsidRPr="00D21D8C">
        <w:rPr>
          <w:rFonts w:asciiTheme="majorBidi" w:hAnsiTheme="majorBidi" w:cstheme="majorBidi"/>
          <w:b/>
          <w:bCs/>
          <w:color w:val="000000"/>
          <w:szCs w:val="22"/>
          <w:u w:color="FFFFFF"/>
        </w:rPr>
        <w:tab/>
        <w:t>DATUM VAN HERZIENING VAN DE TEKST</w:t>
      </w:r>
      <w:r w:rsidR="00664F3A">
        <w:rPr>
          <w:rFonts w:asciiTheme="majorBidi" w:hAnsiTheme="majorBidi" w:cstheme="majorBidi"/>
          <w:b/>
          <w:bCs/>
          <w:color w:val="000000"/>
          <w:szCs w:val="22"/>
          <w:u w:color="FFFFFF"/>
        </w:rPr>
        <w:t xml:space="preserve"> 28</w:t>
      </w:r>
      <w:r w:rsidR="00A57180">
        <w:rPr>
          <w:rFonts w:asciiTheme="majorBidi" w:hAnsiTheme="majorBidi" w:cstheme="majorBidi"/>
          <w:b/>
          <w:bCs/>
          <w:color w:val="000000"/>
          <w:szCs w:val="22"/>
          <w:u w:color="FFFFFF"/>
        </w:rPr>
        <w:t xml:space="preserve"> maart 2025.</w:t>
      </w:r>
    </w:p>
    <w:p w14:paraId="1EA0987C" w14:textId="77777777" w:rsidR="001A274F" w:rsidRPr="00D21D8C" w:rsidRDefault="001A274F">
      <w:pPr>
        <w:spacing w:line="240" w:lineRule="auto"/>
        <w:rPr>
          <w:rFonts w:asciiTheme="majorBidi" w:hAnsiTheme="majorBidi" w:cstheme="majorBidi"/>
          <w:szCs w:val="22"/>
        </w:rPr>
      </w:pPr>
    </w:p>
    <w:p w14:paraId="35E0A541" w14:textId="5FEE11DE" w:rsidR="00200CD6" w:rsidRDefault="00DA418A" w:rsidP="00020160">
      <w:pPr>
        <w:spacing w:line="240" w:lineRule="auto"/>
        <w:ind w:right="-2"/>
        <w:rPr>
          <w:rFonts w:asciiTheme="majorBidi" w:hAnsiTheme="majorBidi" w:cstheme="majorBidi"/>
          <w:color w:val="000000"/>
          <w:szCs w:val="22"/>
          <w:u w:color="FFFFFF"/>
        </w:rPr>
      </w:pPr>
      <w:r w:rsidRPr="00D21D8C">
        <w:rPr>
          <w:rFonts w:asciiTheme="majorBidi" w:hAnsiTheme="majorBidi" w:cstheme="majorBidi"/>
          <w:color w:val="000000"/>
          <w:szCs w:val="22"/>
          <w:u w:color="FFFFFF"/>
        </w:rPr>
        <w:t xml:space="preserve">Gedetailleerde informatie over dit geneesmiddel is beschikbaar op de website van het Europees Geneesmiddelenbureau </w:t>
      </w:r>
      <w:hyperlink r:id="rId15" w:history="1">
        <w:r w:rsidR="00522C64" w:rsidRPr="00D21D8C">
          <w:rPr>
            <w:rStyle w:val="Hyperlink"/>
            <w:rFonts w:asciiTheme="majorBidi" w:hAnsiTheme="majorBidi" w:cstheme="majorBidi"/>
            <w:szCs w:val="22"/>
          </w:rPr>
          <w:t>https://www.ema.europa.eu</w:t>
        </w:r>
      </w:hyperlink>
      <w:r w:rsidRPr="00D21D8C">
        <w:rPr>
          <w:rFonts w:asciiTheme="majorBidi" w:hAnsiTheme="majorBidi" w:cstheme="majorBidi"/>
          <w:color w:val="000000"/>
          <w:szCs w:val="22"/>
          <w:u w:color="FFFFFF"/>
        </w:rPr>
        <w:t>.</w:t>
      </w:r>
    </w:p>
    <w:p w14:paraId="1D2B35BD" w14:textId="77777777" w:rsidR="00DF19A7" w:rsidRPr="00DF19A7" w:rsidRDefault="00DF19A7" w:rsidP="00DF19A7">
      <w:pPr>
        <w:spacing w:line="240" w:lineRule="auto"/>
        <w:ind w:right="-2"/>
        <w:rPr>
          <w:lang/>
        </w:rPr>
      </w:pPr>
      <w:r w:rsidRPr="00DF19A7">
        <w:rPr>
          <w:b/>
          <w:bCs/>
          <w:lang w:val="nl-BE"/>
        </w:rPr>
        <w:t>AFLEVE</w:t>
      </w:r>
      <w:r w:rsidRPr="00DF19A7">
        <w:rPr>
          <w:b/>
          <w:bCs/>
        </w:rPr>
        <w:t>RINGSWIJZE</w:t>
      </w:r>
      <w:r w:rsidRPr="00DF19A7">
        <w:t xml:space="preserve"> Geneesmiddel op beperkt medisch voorschrift.</w:t>
      </w:r>
    </w:p>
    <w:p w14:paraId="2041EA4C" w14:textId="77777777" w:rsidR="00DF19A7" w:rsidRPr="00DF19A7" w:rsidRDefault="00DF19A7" w:rsidP="00020160">
      <w:pPr>
        <w:spacing w:line="240" w:lineRule="auto"/>
        <w:ind w:right="-2"/>
        <w:rPr>
          <w:lang/>
        </w:rPr>
      </w:pPr>
    </w:p>
    <w:sectPr w:rsidR="00DF19A7" w:rsidRPr="00DF19A7">
      <w:footerReference w:type="default" r:id="rId16"/>
      <w:footerReference w:type="first" r:id="rId17"/>
      <w:pgSz w:w="11906" w:h="16838"/>
      <w:pgMar w:top="1134" w:right="1418" w:bottom="1134" w:left="1418" w:header="0" w:footer="737"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45BB0" w14:textId="77777777" w:rsidR="008B0757" w:rsidRPr="00D21D8C" w:rsidRDefault="008B0757">
      <w:pPr>
        <w:spacing w:line="240" w:lineRule="auto"/>
      </w:pPr>
      <w:r w:rsidRPr="00D21D8C">
        <w:separator/>
      </w:r>
    </w:p>
  </w:endnote>
  <w:endnote w:type="continuationSeparator" w:id="0">
    <w:p w14:paraId="238AD21E" w14:textId="77777777" w:rsidR="008B0757" w:rsidRPr="00D21D8C" w:rsidRDefault="008B0757">
      <w:pPr>
        <w:spacing w:line="240" w:lineRule="auto"/>
      </w:pPr>
      <w:r w:rsidRPr="00D21D8C">
        <w:continuationSeparator/>
      </w:r>
    </w:p>
  </w:endnote>
  <w:endnote w:type="continuationNotice" w:id="1">
    <w:p w14:paraId="14B4B3AC" w14:textId="77777777" w:rsidR="008B0757" w:rsidRPr="00D21D8C" w:rsidRDefault="008B07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4F6F4" w14:textId="5843B9E7" w:rsidR="001A274F" w:rsidRPr="00D21D8C" w:rsidRDefault="00DA418A">
    <w:pPr>
      <w:pStyle w:val="Voettekst"/>
      <w:tabs>
        <w:tab w:val="right" w:pos="8931"/>
      </w:tabs>
      <w:ind w:right="96"/>
      <w:jc w:val="center"/>
    </w:pPr>
    <w:r w:rsidRPr="00D21D8C">
      <w:rPr>
        <w:rStyle w:val="Paginanummer"/>
        <w:rFonts w:cs="Arial"/>
      </w:rPr>
      <w:fldChar w:fldCharType="begin"/>
    </w:r>
    <w:r w:rsidRPr="00D21D8C">
      <w:rPr>
        <w:rStyle w:val="Paginanummer"/>
        <w:rFonts w:cs="Arial"/>
      </w:rPr>
      <w:instrText>PAGE</w:instrText>
    </w:r>
    <w:r w:rsidRPr="00D21D8C">
      <w:rPr>
        <w:rStyle w:val="Paginanummer"/>
        <w:rFonts w:cs="Arial"/>
      </w:rPr>
      <w:fldChar w:fldCharType="separate"/>
    </w:r>
    <w:r w:rsidR="00925EEB">
      <w:rPr>
        <w:rStyle w:val="Paginanummer"/>
        <w:rFonts w:cs="Arial"/>
        <w:noProof/>
      </w:rPr>
      <w:t>2</w:t>
    </w:r>
    <w:r w:rsidRPr="00D21D8C">
      <w:rPr>
        <w:rStyle w:val="Paginanumm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F27C4" w14:textId="2FAA449B" w:rsidR="001A274F" w:rsidRPr="00D21D8C" w:rsidRDefault="00DA418A">
    <w:pPr>
      <w:pStyle w:val="Voettekst"/>
      <w:tabs>
        <w:tab w:val="right" w:pos="8931"/>
      </w:tabs>
      <w:ind w:right="96"/>
      <w:jc w:val="center"/>
    </w:pPr>
    <w:r w:rsidRPr="00D21D8C">
      <w:rPr>
        <w:rStyle w:val="Paginanummer"/>
        <w:rFonts w:cs="Arial"/>
      </w:rPr>
      <w:fldChar w:fldCharType="begin"/>
    </w:r>
    <w:r w:rsidRPr="00D21D8C">
      <w:rPr>
        <w:rStyle w:val="Paginanummer"/>
        <w:rFonts w:cs="Arial"/>
      </w:rPr>
      <w:instrText>PAGE</w:instrText>
    </w:r>
    <w:r w:rsidRPr="00D21D8C">
      <w:rPr>
        <w:rStyle w:val="Paginanummer"/>
        <w:rFonts w:cs="Arial"/>
      </w:rPr>
      <w:fldChar w:fldCharType="separate"/>
    </w:r>
    <w:r w:rsidR="00925EEB">
      <w:rPr>
        <w:rStyle w:val="Paginanummer"/>
        <w:rFonts w:cs="Arial"/>
        <w:noProof/>
      </w:rPr>
      <w:t>1</w:t>
    </w:r>
    <w:r w:rsidRPr="00D21D8C">
      <w:rPr>
        <w:rStyle w:val="Paginanumm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02BC7" w14:textId="77777777" w:rsidR="008B0757" w:rsidRPr="00D21D8C" w:rsidRDefault="008B0757">
      <w:pPr>
        <w:spacing w:line="240" w:lineRule="auto"/>
      </w:pPr>
      <w:r w:rsidRPr="00D21D8C">
        <w:separator/>
      </w:r>
    </w:p>
  </w:footnote>
  <w:footnote w:type="continuationSeparator" w:id="0">
    <w:p w14:paraId="34EDD2FC" w14:textId="77777777" w:rsidR="008B0757" w:rsidRPr="00D21D8C" w:rsidRDefault="008B0757">
      <w:pPr>
        <w:spacing w:line="240" w:lineRule="auto"/>
      </w:pPr>
      <w:r w:rsidRPr="00D21D8C">
        <w:continuationSeparator/>
      </w:r>
    </w:p>
  </w:footnote>
  <w:footnote w:type="continuationNotice" w:id="1">
    <w:p w14:paraId="4C4F23A7" w14:textId="77777777" w:rsidR="008B0757" w:rsidRPr="00D21D8C" w:rsidRDefault="008B075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6092756" o:spid="_x0000_i1026" type="#_x0000_t75" alt="BT_1000x858px" style="width:15.75pt;height:13.5pt;visibility:visible;mso-wrap-style:square" o:bullet="t">
        <v:imagedata r:id="rId1" o:title="BT_1000x858px"/>
      </v:shape>
    </w:pict>
  </w:numPicBullet>
  <w:abstractNum w:abstractNumId="0" w15:restartNumberingAfterBreak="0">
    <w:nsid w:val="08D869D2"/>
    <w:multiLevelType w:val="multilevel"/>
    <w:tmpl w:val="D17034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395BB5"/>
    <w:multiLevelType w:val="multilevel"/>
    <w:tmpl w:val="D3CCCF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6CF35BE"/>
    <w:multiLevelType w:val="multilevel"/>
    <w:tmpl w:val="12D25E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DB06AF7"/>
    <w:multiLevelType w:val="multilevel"/>
    <w:tmpl w:val="BC78E7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E2F753F"/>
    <w:multiLevelType w:val="multilevel"/>
    <w:tmpl w:val="7CA68D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17750AA"/>
    <w:multiLevelType w:val="multilevel"/>
    <w:tmpl w:val="BB1A51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6837170"/>
    <w:multiLevelType w:val="hybridMultilevel"/>
    <w:tmpl w:val="72129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A41703"/>
    <w:multiLevelType w:val="multilevel"/>
    <w:tmpl w:val="110AFC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BF27D39"/>
    <w:multiLevelType w:val="hybridMultilevel"/>
    <w:tmpl w:val="383EF5E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DF2729E"/>
    <w:multiLevelType w:val="multilevel"/>
    <w:tmpl w:val="C6B83912"/>
    <w:lvl w:ilvl="0">
      <w:start w:val="1"/>
      <w:numFmt w:val="bullet"/>
      <w:lvlText w:val="-"/>
      <w:lvlJc w:val="left"/>
      <w:pPr>
        <w:tabs>
          <w:tab w:val="num" w:pos="0"/>
        </w:tabs>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7243F92"/>
    <w:multiLevelType w:val="multilevel"/>
    <w:tmpl w:val="191497A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1" w15:restartNumberingAfterBreak="0">
    <w:nsid w:val="57B86A92"/>
    <w:multiLevelType w:val="hybridMultilevel"/>
    <w:tmpl w:val="6C92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481CD5"/>
    <w:multiLevelType w:val="hybridMultilevel"/>
    <w:tmpl w:val="AFC0DEBC"/>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4B178B"/>
    <w:multiLevelType w:val="multilevel"/>
    <w:tmpl w:val="BEB6017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9E95A54"/>
    <w:multiLevelType w:val="hybridMultilevel"/>
    <w:tmpl w:val="EDE059A0"/>
    <w:lvl w:ilvl="0" w:tplc="3DE61DB0">
      <w:start w:val="1"/>
      <w:numFmt w:val="bullet"/>
      <w:lvlText w:val=""/>
      <w:lvlJc w:val="left"/>
      <w:pPr>
        <w:tabs>
          <w:tab w:val="num" w:pos="397"/>
        </w:tabs>
        <w:ind w:left="397" w:hanging="397"/>
      </w:pPr>
      <w:rPr>
        <w:rFonts w:ascii="Symbol" w:hAnsi="Symbol" w:hint="default"/>
      </w:rPr>
    </w:lvl>
    <w:lvl w:ilvl="1" w:tplc="5D10C25C">
      <w:start w:val="1"/>
      <w:numFmt w:val="bullet"/>
      <w:lvlText w:val="o"/>
      <w:lvlJc w:val="left"/>
      <w:pPr>
        <w:tabs>
          <w:tab w:val="num" w:pos="1440"/>
        </w:tabs>
        <w:ind w:left="1440" w:hanging="360"/>
      </w:pPr>
      <w:rPr>
        <w:rFonts w:ascii="Courier New" w:hAnsi="Courier New" w:cs="Times New Roman" w:hint="default"/>
      </w:rPr>
    </w:lvl>
    <w:lvl w:ilvl="2" w:tplc="D642433A">
      <w:start w:val="1"/>
      <w:numFmt w:val="bullet"/>
      <w:lvlText w:val=""/>
      <w:lvlJc w:val="left"/>
      <w:pPr>
        <w:tabs>
          <w:tab w:val="num" w:pos="2160"/>
        </w:tabs>
        <w:ind w:left="2160" w:hanging="360"/>
      </w:pPr>
      <w:rPr>
        <w:rFonts w:ascii="Wingdings" w:hAnsi="Wingdings" w:hint="default"/>
      </w:rPr>
    </w:lvl>
    <w:lvl w:ilvl="3" w:tplc="78B63C26">
      <w:start w:val="1"/>
      <w:numFmt w:val="bullet"/>
      <w:lvlText w:val=""/>
      <w:lvlJc w:val="left"/>
      <w:pPr>
        <w:tabs>
          <w:tab w:val="num" w:pos="2880"/>
        </w:tabs>
        <w:ind w:left="2880" w:hanging="360"/>
      </w:pPr>
      <w:rPr>
        <w:rFonts w:ascii="Symbol" w:hAnsi="Symbol" w:hint="default"/>
      </w:rPr>
    </w:lvl>
    <w:lvl w:ilvl="4" w:tplc="E08617E0">
      <w:start w:val="1"/>
      <w:numFmt w:val="bullet"/>
      <w:lvlText w:val="o"/>
      <w:lvlJc w:val="left"/>
      <w:pPr>
        <w:tabs>
          <w:tab w:val="num" w:pos="3600"/>
        </w:tabs>
        <w:ind w:left="3600" w:hanging="360"/>
      </w:pPr>
      <w:rPr>
        <w:rFonts w:ascii="Courier New" w:hAnsi="Courier New" w:cs="Times New Roman" w:hint="default"/>
      </w:rPr>
    </w:lvl>
    <w:lvl w:ilvl="5" w:tplc="48CAF62C">
      <w:start w:val="1"/>
      <w:numFmt w:val="bullet"/>
      <w:lvlText w:val=""/>
      <w:lvlJc w:val="left"/>
      <w:pPr>
        <w:tabs>
          <w:tab w:val="num" w:pos="4320"/>
        </w:tabs>
        <w:ind w:left="4320" w:hanging="360"/>
      </w:pPr>
      <w:rPr>
        <w:rFonts w:ascii="Wingdings" w:hAnsi="Wingdings" w:hint="default"/>
      </w:rPr>
    </w:lvl>
    <w:lvl w:ilvl="6" w:tplc="9CFCE03A">
      <w:start w:val="1"/>
      <w:numFmt w:val="bullet"/>
      <w:lvlText w:val=""/>
      <w:lvlJc w:val="left"/>
      <w:pPr>
        <w:tabs>
          <w:tab w:val="num" w:pos="5040"/>
        </w:tabs>
        <w:ind w:left="5040" w:hanging="360"/>
      </w:pPr>
      <w:rPr>
        <w:rFonts w:ascii="Symbol" w:hAnsi="Symbol" w:hint="default"/>
      </w:rPr>
    </w:lvl>
    <w:lvl w:ilvl="7" w:tplc="C896C6F6">
      <w:start w:val="1"/>
      <w:numFmt w:val="bullet"/>
      <w:lvlText w:val="o"/>
      <w:lvlJc w:val="left"/>
      <w:pPr>
        <w:tabs>
          <w:tab w:val="num" w:pos="5760"/>
        </w:tabs>
        <w:ind w:left="5760" w:hanging="360"/>
      </w:pPr>
      <w:rPr>
        <w:rFonts w:ascii="Courier New" w:hAnsi="Courier New" w:cs="Times New Roman" w:hint="default"/>
      </w:rPr>
    </w:lvl>
    <w:lvl w:ilvl="8" w:tplc="45F2D2DC">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F778D1"/>
    <w:multiLevelType w:val="multilevel"/>
    <w:tmpl w:val="7DD01088"/>
    <w:lvl w:ilvl="0">
      <w:start w:val="1"/>
      <w:numFmt w:val="bullet"/>
      <w:lvlText w:val="-"/>
      <w:lvlJc w:val="left"/>
      <w:pPr>
        <w:tabs>
          <w:tab w:val="num" w:pos="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0507EE2"/>
    <w:multiLevelType w:val="multilevel"/>
    <w:tmpl w:val="F842C6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0FA67BA"/>
    <w:multiLevelType w:val="multilevel"/>
    <w:tmpl w:val="3FA046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72AD3233"/>
    <w:multiLevelType w:val="hybridMultilevel"/>
    <w:tmpl w:val="72D27D3E"/>
    <w:lvl w:ilvl="0" w:tplc="10DC1E6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6D2576"/>
    <w:multiLevelType w:val="hybridMultilevel"/>
    <w:tmpl w:val="D614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3"/>
  </w:num>
  <w:num w:numId="4">
    <w:abstractNumId w:val="17"/>
  </w:num>
  <w:num w:numId="5">
    <w:abstractNumId w:val="4"/>
  </w:num>
  <w:num w:numId="6">
    <w:abstractNumId w:val="0"/>
  </w:num>
  <w:num w:numId="7">
    <w:abstractNumId w:val="9"/>
  </w:num>
  <w:num w:numId="8">
    <w:abstractNumId w:val="16"/>
  </w:num>
  <w:num w:numId="9">
    <w:abstractNumId w:val="2"/>
  </w:num>
  <w:num w:numId="10">
    <w:abstractNumId w:val="7"/>
  </w:num>
  <w:num w:numId="11">
    <w:abstractNumId w:val="10"/>
  </w:num>
  <w:num w:numId="12">
    <w:abstractNumId w:val="1"/>
  </w:num>
  <w:num w:numId="13">
    <w:abstractNumId w:val="5"/>
  </w:num>
  <w:num w:numId="14">
    <w:abstractNumId w:val="9"/>
    <w:lvlOverride w:ilvl="0">
      <w:lvl w:ilvl="0">
        <w:start w:val="1"/>
        <w:numFmt w:val="bullet"/>
        <w:lvlText w:val="-"/>
        <w:lvlJc w:val="left"/>
        <w:pPr>
          <w:tabs>
            <w:tab w:val="num" w:pos="0"/>
          </w:tabs>
          <w:ind w:left="360" w:hanging="360"/>
        </w:pPr>
        <w:rPr>
          <w:rFonts w:ascii="OpenSymbol" w:hAnsi="OpenSymbol" w:cs="OpenSymbol" w:hint="default"/>
        </w:rPr>
      </w:lvl>
    </w:lvlOverride>
  </w:num>
  <w:num w:numId="15">
    <w:abstractNumId w:val="12"/>
  </w:num>
  <w:num w:numId="16">
    <w:abstractNumId w:val="14"/>
  </w:num>
  <w:num w:numId="17">
    <w:abstractNumId w:val="6"/>
  </w:num>
  <w:num w:numId="18">
    <w:abstractNumId w:val="18"/>
  </w:num>
  <w:num w:numId="19">
    <w:abstractNumId w:val="8"/>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AULT_ND_00fcf597-4f09-4a0d-acd8-1494d79977b0" w:val=" "/>
    <w:docVar w:name="vault_nd_012d7bee-1390-4da0-b916-c53aff3695af" w:val=" "/>
    <w:docVar w:name="vault_nd_02438275-cd6c-4c5d-bb9c-f9999b59f267" w:val=" "/>
    <w:docVar w:name="vault_nd_03f451d6-18ad-48e9-97cc-3f31e3035e3c" w:val=" "/>
    <w:docVar w:name="VAULT_ND_0497a672-7ba5-4b65-8375-6d06ebe1a039" w:val=" "/>
    <w:docVar w:name="VAULT_ND_076bea3c-c8c3-400f-b448-743a870a3a28" w:val=" "/>
    <w:docVar w:name="vault_nd_0802f579-f04f-41c0-a032-1fe95ae68b2c" w:val=" "/>
    <w:docVar w:name="VAULT_ND_0b18d475-929c-46cc-8ed5-04a7bc47fd22" w:val=" "/>
    <w:docVar w:name="VAULT_ND_105dc12f-6d3f-421a-b02b-8ed3f40677a2" w:val=" "/>
    <w:docVar w:name="VAULT_ND_115ca974-59e7-4d9d-b32b-888fa565dfd7" w:val=" "/>
    <w:docVar w:name="VAULT_ND_1259f777-57fb-414d-abae-a24dd63502d2" w:val=" "/>
    <w:docVar w:name="vault_nd_1524bd2a-5a48-4f33-a666-1681443fa461" w:val=" "/>
    <w:docVar w:name="VAULT_ND_16dc72ed-d717-49d6-ac90-21273e919794" w:val=" "/>
    <w:docVar w:name="vault_nd_16eb634c-8df6-48d3-8029-cbb42f2602eb" w:val=" "/>
    <w:docVar w:name="VAULT_ND_19f602f4-07de-40b1-b16c-0e8b79464d48" w:val=" "/>
    <w:docVar w:name="VAULT_ND_1b45156c-7077-4b33-ab99-f024be232864" w:val=" "/>
    <w:docVar w:name="VAULT_ND_1b5590e4-278b-43eb-8465-9b0a4c3ce5b2" w:val=" "/>
    <w:docVar w:name="VAULT_ND_1c0704af-df5f-4654-9078-801b93db42b9" w:val=" "/>
    <w:docVar w:name="vault_nd_1eac12fd-92ea-4e78-aadf-9c0457bb7e64" w:val=" "/>
    <w:docVar w:name="VAULT_ND_203e159c-a8dd-4f1b-a752-8b57b1cbe8a5" w:val=" "/>
    <w:docVar w:name="vault_nd_2acde9d1-a036-4678-8949-110858edba03" w:val=" "/>
    <w:docVar w:name="vault_nd_300f36fc-08fe-4add-b7fb-a19374d7fcae" w:val=" "/>
    <w:docVar w:name="VAULT_ND_35e521bb-02b0-4508-adb5-1d29eaf8d212" w:val=" "/>
    <w:docVar w:name="vault_nd_39ad601f-6a61-47f3-a72e-0876073a8bb1" w:val=" "/>
    <w:docVar w:name="vault_nd_3d397406-8e1d-48a6-943c-0333b2458926" w:val=" "/>
    <w:docVar w:name="vault_nd_3d4df1d8-afe7-4fa6-9003-cb4cc43960e7" w:val=" "/>
    <w:docVar w:name="VAULT_ND_3f18fb85-0e37-4b49-9121-f35a786a8a68" w:val=" "/>
    <w:docVar w:name="vault_nd_3fec2509-a92a-4ccb-84b1-6848a710e6ca" w:val=" "/>
    <w:docVar w:name="VAULT_ND_4458440d-4a34-411d-a029-552f70224dad" w:val=" "/>
    <w:docVar w:name="VAULT_ND_46459b84-bfbd-4a8d-b14a-515207da0bc9" w:val=" "/>
    <w:docVar w:name="vault_nd_495a6899-9bcd-4011-ae1d-02414f0b72b5" w:val=" "/>
    <w:docVar w:name="VAULT_ND_4b4672af-6b62-4f6e-acff-0050608d0bb6" w:val=" "/>
    <w:docVar w:name="VAULT_ND_50c97530-4268-4d82-8503-e950fac60575" w:val=" "/>
    <w:docVar w:name="VAULT_ND_51f932e5-2d38-4571-87b0-2cbe23e7a00c" w:val=" "/>
    <w:docVar w:name="VAULT_ND_520c2f28-b87f-4405-9680-062f5d036aec" w:val=" "/>
    <w:docVar w:name="vault_nd_576e857f-9a3c-4a35-a38a-8e2052d7e708" w:val=" "/>
    <w:docVar w:name="VAULT_ND_5bd95705-5fe6-42b7-b05c-0773381c868f" w:val=" "/>
    <w:docVar w:name="VAULT_ND_5cf8ab9c-3fea-46a1-81a1-6e7a41593506" w:val=" "/>
    <w:docVar w:name="vault_nd_6106aa29-48ad-4af5-b1e1-b02c72673f3b" w:val=" "/>
    <w:docVar w:name="vault_nd_648bc89a-5df2-4690-8b39-7140d55c37ac" w:val=" "/>
    <w:docVar w:name="vault_nd_663e9382-1f65-4641-976d-1ccb3a9c870b" w:val=" "/>
    <w:docVar w:name="vault_nd_67449fea-f6cc-416f-843f-efed4d637716" w:val=" "/>
    <w:docVar w:name="VAULT_ND_69378c0d-13f5-4b75-bd94-ddce78b3e9a6" w:val=" "/>
    <w:docVar w:name="VAULT_ND_69870b5c-b518-433b-ba9f-8faf604fce32" w:val=" "/>
    <w:docVar w:name="VAULT_ND_786a401e-1d21-4618-9b99-dd75b0bc5599" w:val=" "/>
    <w:docVar w:name="vault_nd_78c27c1e-9c5a-4602-a676-43ad497d555e" w:val=" "/>
    <w:docVar w:name="VAULT_ND_7d9192af-5358-4ef2-a6b0-938527d1c686" w:val=" "/>
    <w:docVar w:name="VAULT_ND_7f8fe87f-4665-452a-9024-00190c873dfd" w:val=" "/>
    <w:docVar w:name="VAULT_ND_8267162c-2cdd-4480-ba1c-17098701c9f0" w:val=" "/>
    <w:docVar w:name="vault_nd_8ccca254-21cb-464c-beae-1c1d2c5ffa89" w:val=" "/>
    <w:docVar w:name="VAULT_ND_8d126feb-d043-4861-a7e7-d31ef4aa7f40" w:val=" "/>
    <w:docVar w:name="vault_nd_9055dfad-dbb9-4e98-a1ee-bdd8589a1e47" w:val=" "/>
    <w:docVar w:name="VAULT_ND_91f5a59e-be83-44d1-be15-3c4c6ae2fb5c" w:val=" "/>
    <w:docVar w:name="VAULT_ND_9461700d-e0af-4d63-b984-2885c971f54d" w:val=" "/>
    <w:docVar w:name="vault_nd_97f32387-d927-4f9c-b45e-e1dabbf0080f" w:val=" "/>
    <w:docVar w:name="vault_nd_9bd48c26-d55c-41c7-bc0d-0633cdd019d9" w:val=" "/>
    <w:docVar w:name="vault_nd_9d42aa10-dbaf-4fdb-8e82-2880aab1ea55" w:val=" "/>
    <w:docVar w:name="vault_nd_a3b5a529-9d71-4313-a3c8-8e17d26005f8" w:val=" "/>
    <w:docVar w:name="vault_nd_a4f55183-5316-4773-a8ed-08b7fbeb24cc" w:val=" "/>
    <w:docVar w:name="VAULT_ND_a68a92d2-12c5-42b5-b4d4-6ca5a56a2727" w:val=" "/>
    <w:docVar w:name="VAULT_ND_a7699cd8-3926-4700-bdba-fad4b5235461" w:val=" "/>
    <w:docVar w:name="vault_nd_aa1bc60e-48f6-418f-a204-fe4323fc1e5a" w:val=" "/>
    <w:docVar w:name="VAULT_ND_ac674a1b-3a50-4f5d-9391-d0a7740a0905" w:val=" "/>
    <w:docVar w:name="VAULT_ND_afd92a86-5255-4d09-bb8f-0ba4840758f9" w:val=" "/>
    <w:docVar w:name="VAULT_ND_b1ce1c48-0feb-483a-a901-34bf7369cea1" w:val=" "/>
    <w:docVar w:name="VAULT_ND_b28037e2-d68a-497b-8d2a-9f53dd36d0ed" w:val=" "/>
    <w:docVar w:name="VAULT_ND_b2e84089-9a79-4610-a497-1faf3e9d4b33" w:val=" "/>
    <w:docVar w:name="VAULT_ND_b442ab65-e67c-41e0-befd-a6e71a70d592" w:val=" "/>
    <w:docVar w:name="VAULT_ND_b5571a83-39db-4d25-816a-3617211f8616" w:val=" "/>
    <w:docVar w:name="vault_nd_b6676db7-18eb-4bcd-a643-510b988ab8e5" w:val=" "/>
    <w:docVar w:name="vault_nd_b882bcee-b242-48fe-83ab-438ae87ab88c" w:val=" "/>
    <w:docVar w:name="vault_nd_b9588d4b-fac5-4156-b080-1d53280cec80" w:val=" "/>
    <w:docVar w:name="vault_nd_b9b08486-c322-42d4-b6e4-1904972dab25" w:val=" "/>
    <w:docVar w:name="vault_nd_bfea334e-c017-49d5-998c-7b92985a0562" w:val=" "/>
    <w:docVar w:name="VAULT_ND_c1525f5d-c710-458b-97bf-084f32d45373" w:val=" "/>
    <w:docVar w:name="vault_nd_c5017325-1a2c-4dfa-9650-7b58f111220d" w:val=" "/>
    <w:docVar w:name="vault_nd_cb8be465-cea0-4156-b1fb-9bf6266b05b1" w:val=" "/>
    <w:docVar w:name="vault_nd_cf74a775-e3eb-4631-804a-de9edf2319d3" w:val=" "/>
    <w:docVar w:name="vault_nd_d369d0e8-4392-4aef-944d-500bc1fe2150" w:val=" "/>
    <w:docVar w:name="VAULT_ND_d63cebc1-3414-4060-b95e-9568ad277878" w:val=" "/>
    <w:docVar w:name="vault_nd_d82c13ae-79f5-4a88-bc40-203aa0c16621" w:val=" "/>
    <w:docVar w:name="VAULT_ND_dce07a2d-cccb-4046-a606-86d4dd7944ca" w:val=" "/>
    <w:docVar w:name="vault_nd_dfe5491e-a1ee-4340-9100-8caf63d57c38" w:val=" "/>
    <w:docVar w:name="VAULT_ND_e3df17ea-7f31-4012-af36-19f838461d40" w:val=" "/>
    <w:docVar w:name="vault_nd_e764a816-c709-4106-9346-3dac72026818" w:val=" "/>
    <w:docVar w:name="vault_nd_e9a2483b-1025-4815-ae5d-7a177e80bab0" w:val=" "/>
    <w:docVar w:name="VAULT_ND_e9dfab25-1fa8-4151-a38a-bc07b63a3dc8" w:val=" "/>
    <w:docVar w:name="vault_nd_efde83ed-4c50-4b79-81d3-29f8f00cf94f" w:val=" "/>
    <w:docVar w:name="VAULT_ND_f28afee3-f560-4620-93dd-d7c9b7b1df13" w:val=" "/>
    <w:docVar w:name="VAULT_ND_f4a10ddc-92b9-45b2-9451-13d249636147" w:val=" "/>
  </w:docVars>
  <w:rsids>
    <w:rsidRoot w:val="001A274F"/>
    <w:rsid w:val="00003823"/>
    <w:rsid w:val="00012E85"/>
    <w:rsid w:val="00016B20"/>
    <w:rsid w:val="00020160"/>
    <w:rsid w:val="00022449"/>
    <w:rsid w:val="00025DC4"/>
    <w:rsid w:val="00035E1B"/>
    <w:rsid w:val="00044537"/>
    <w:rsid w:val="00045B68"/>
    <w:rsid w:val="0005105C"/>
    <w:rsid w:val="00053E2B"/>
    <w:rsid w:val="000552C9"/>
    <w:rsid w:val="00055A1E"/>
    <w:rsid w:val="00055ACC"/>
    <w:rsid w:val="000603B8"/>
    <w:rsid w:val="00067B6F"/>
    <w:rsid w:val="00067EA3"/>
    <w:rsid w:val="000753B5"/>
    <w:rsid w:val="0007690C"/>
    <w:rsid w:val="000821B3"/>
    <w:rsid w:val="00083713"/>
    <w:rsid w:val="000843EC"/>
    <w:rsid w:val="00087187"/>
    <w:rsid w:val="00092B0E"/>
    <w:rsid w:val="00094F84"/>
    <w:rsid w:val="000A062C"/>
    <w:rsid w:val="000A096C"/>
    <w:rsid w:val="000A20C8"/>
    <w:rsid w:val="000A3342"/>
    <w:rsid w:val="000A4EEA"/>
    <w:rsid w:val="000A5370"/>
    <w:rsid w:val="000A5B07"/>
    <w:rsid w:val="000B6434"/>
    <w:rsid w:val="000C2A95"/>
    <w:rsid w:val="000C47E9"/>
    <w:rsid w:val="000D0EC8"/>
    <w:rsid w:val="000D3093"/>
    <w:rsid w:val="000D574A"/>
    <w:rsid w:val="000E3404"/>
    <w:rsid w:val="000F01FD"/>
    <w:rsid w:val="000F0734"/>
    <w:rsid w:val="000F31BA"/>
    <w:rsid w:val="000F5603"/>
    <w:rsid w:val="000F6E0E"/>
    <w:rsid w:val="001015C9"/>
    <w:rsid w:val="00105C4C"/>
    <w:rsid w:val="0011019E"/>
    <w:rsid w:val="0013614D"/>
    <w:rsid w:val="00136633"/>
    <w:rsid w:val="00141213"/>
    <w:rsid w:val="001453E5"/>
    <w:rsid w:val="00145BAE"/>
    <w:rsid w:val="00147F1E"/>
    <w:rsid w:val="00153807"/>
    <w:rsid w:val="00153A9B"/>
    <w:rsid w:val="001612BA"/>
    <w:rsid w:val="00166931"/>
    <w:rsid w:val="00171189"/>
    <w:rsid w:val="00175343"/>
    <w:rsid w:val="001778B5"/>
    <w:rsid w:val="00184EFC"/>
    <w:rsid w:val="0018519F"/>
    <w:rsid w:val="001A0781"/>
    <w:rsid w:val="001A274F"/>
    <w:rsid w:val="001A41A5"/>
    <w:rsid w:val="001C26B7"/>
    <w:rsid w:val="001C732E"/>
    <w:rsid w:val="001D05FA"/>
    <w:rsid w:val="001D0CC7"/>
    <w:rsid w:val="001D32F2"/>
    <w:rsid w:val="001D486F"/>
    <w:rsid w:val="001D5732"/>
    <w:rsid w:val="001D7BF0"/>
    <w:rsid w:val="001E03A2"/>
    <w:rsid w:val="001E0A19"/>
    <w:rsid w:val="001E1ADD"/>
    <w:rsid w:val="001E2C9C"/>
    <w:rsid w:val="001E32B0"/>
    <w:rsid w:val="001E3DB6"/>
    <w:rsid w:val="001F40B1"/>
    <w:rsid w:val="001F5E34"/>
    <w:rsid w:val="001F5FA5"/>
    <w:rsid w:val="001F6DA5"/>
    <w:rsid w:val="001F7210"/>
    <w:rsid w:val="00200CD6"/>
    <w:rsid w:val="002069EC"/>
    <w:rsid w:val="002152C1"/>
    <w:rsid w:val="002171A4"/>
    <w:rsid w:val="00220206"/>
    <w:rsid w:val="0022206E"/>
    <w:rsid w:val="00225897"/>
    <w:rsid w:val="00241098"/>
    <w:rsid w:val="00243210"/>
    <w:rsid w:val="00247203"/>
    <w:rsid w:val="00252991"/>
    <w:rsid w:val="00252E96"/>
    <w:rsid w:val="002700BC"/>
    <w:rsid w:val="00274F10"/>
    <w:rsid w:val="0027582E"/>
    <w:rsid w:val="00281373"/>
    <w:rsid w:val="00284D2D"/>
    <w:rsid w:val="002864CF"/>
    <w:rsid w:val="0029184A"/>
    <w:rsid w:val="002937F5"/>
    <w:rsid w:val="00293E00"/>
    <w:rsid w:val="002A473B"/>
    <w:rsid w:val="002A6977"/>
    <w:rsid w:val="002B0069"/>
    <w:rsid w:val="002B1D4B"/>
    <w:rsid w:val="002B589D"/>
    <w:rsid w:val="002C1534"/>
    <w:rsid w:val="002C48C7"/>
    <w:rsid w:val="002D284F"/>
    <w:rsid w:val="002D3300"/>
    <w:rsid w:val="002D3A55"/>
    <w:rsid w:val="002D7AA8"/>
    <w:rsid w:val="002E53AF"/>
    <w:rsid w:val="002E7B92"/>
    <w:rsid w:val="002F19AC"/>
    <w:rsid w:val="002F708C"/>
    <w:rsid w:val="002F7282"/>
    <w:rsid w:val="00307C13"/>
    <w:rsid w:val="0031150F"/>
    <w:rsid w:val="00315CDD"/>
    <w:rsid w:val="003163C2"/>
    <w:rsid w:val="00316456"/>
    <w:rsid w:val="0033295C"/>
    <w:rsid w:val="00335981"/>
    <w:rsid w:val="0034182B"/>
    <w:rsid w:val="003502DA"/>
    <w:rsid w:val="00351977"/>
    <w:rsid w:val="00357807"/>
    <w:rsid w:val="00361F08"/>
    <w:rsid w:val="003628E4"/>
    <w:rsid w:val="0036791B"/>
    <w:rsid w:val="00367EEC"/>
    <w:rsid w:val="00370FB5"/>
    <w:rsid w:val="0037105A"/>
    <w:rsid w:val="00373A18"/>
    <w:rsid w:val="00374517"/>
    <w:rsid w:val="00376092"/>
    <w:rsid w:val="00377346"/>
    <w:rsid w:val="0037766E"/>
    <w:rsid w:val="003824F4"/>
    <w:rsid w:val="0039088A"/>
    <w:rsid w:val="00396CA6"/>
    <w:rsid w:val="003A569A"/>
    <w:rsid w:val="003A59E9"/>
    <w:rsid w:val="003A7BA5"/>
    <w:rsid w:val="003C1508"/>
    <w:rsid w:val="003C6A47"/>
    <w:rsid w:val="003C7A27"/>
    <w:rsid w:val="003F3089"/>
    <w:rsid w:val="003F6B8A"/>
    <w:rsid w:val="004018D5"/>
    <w:rsid w:val="00405990"/>
    <w:rsid w:val="00412ACC"/>
    <w:rsid w:val="00413AB3"/>
    <w:rsid w:val="00413FE7"/>
    <w:rsid w:val="0042156A"/>
    <w:rsid w:val="0042332D"/>
    <w:rsid w:val="00423DF4"/>
    <w:rsid w:val="00426458"/>
    <w:rsid w:val="00440C76"/>
    <w:rsid w:val="00445355"/>
    <w:rsid w:val="004525C3"/>
    <w:rsid w:val="004548AF"/>
    <w:rsid w:val="00460655"/>
    <w:rsid w:val="00460EEB"/>
    <w:rsid w:val="00465C04"/>
    <w:rsid w:val="00470954"/>
    <w:rsid w:val="00471CC9"/>
    <w:rsid w:val="00471F15"/>
    <w:rsid w:val="00474F7D"/>
    <w:rsid w:val="00482D77"/>
    <w:rsid w:val="0048519E"/>
    <w:rsid w:val="004854D4"/>
    <w:rsid w:val="00492FD8"/>
    <w:rsid w:val="00495D20"/>
    <w:rsid w:val="00495E7B"/>
    <w:rsid w:val="004962F1"/>
    <w:rsid w:val="004A336A"/>
    <w:rsid w:val="004A58D0"/>
    <w:rsid w:val="004B77E7"/>
    <w:rsid w:val="004C292E"/>
    <w:rsid w:val="004D2D0B"/>
    <w:rsid w:val="004D6034"/>
    <w:rsid w:val="004D70CA"/>
    <w:rsid w:val="004E17E0"/>
    <w:rsid w:val="004E3752"/>
    <w:rsid w:val="004E388A"/>
    <w:rsid w:val="004E798D"/>
    <w:rsid w:val="004F5FF1"/>
    <w:rsid w:val="0050336B"/>
    <w:rsid w:val="00506B63"/>
    <w:rsid w:val="0051021D"/>
    <w:rsid w:val="00512553"/>
    <w:rsid w:val="0051400C"/>
    <w:rsid w:val="005171D9"/>
    <w:rsid w:val="00517826"/>
    <w:rsid w:val="005202D8"/>
    <w:rsid w:val="00522C64"/>
    <w:rsid w:val="00522FFA"/>
    <w:rsid w:val="00524AE0"/>
    <w:rsid w:val="0053064B"/>
    <w:rsid w:val="0053089E"/>
    <w:rsid w:val="00532880"/>
    <w:rsid w:val="00543D82"/>
    <w:rsid w:val="00554F2B"/>
    <w:rsid w:val="00566260"/>
    <w:rsid w:val="00567A62"/>
    <w:rsid w:val="00570930"/>
    <w:rsid w:val="00571A31"/>
    <w:rsid w:val="005726D8"/>
    <w:rsid w:val="005752EB"/>
    <w:rsid w:val="0057556B"/>
    <w:rsid w:val="005766B7"/>
    <w:rsid w:val="00577FD1"/>
    <w:rsid w:val="00580DAA"/>
    <w:rsid w:val="0058110A"/>
    <w:rsid w:val="00582DBD"/>
    <w:rsid w:val="00585008"/>
    <w:rsid w:val="00592FCA"/>
    <w:rsid w:val="00593731"/>
    <w:rsid w:val="00593833"/>
    <w:rsid w:val="005A75CC"/>
    <w:rsid w:val="005B1A52"/>
    <w:rsid w:val="005B2C1F"/>
    <w:rsid w:val="005B550D"/>
    <w:rsid w:val="005C677C"/>
    <w:rsid w:val="005C7E7E"/>
    <w:rsid w:val="005D32BF"/>
    <w:rsid w:val="005D752E"/>
    <w:rsid w:val="005F2193"/>
    <w:rsid w:val="00600E4D"/>
    <w:rsid w:val="0060100C"/>
    <w:rsid w:val="00603B81"/>
    <w:rsid w:val="00604D4C"/>
    <w:rsid w:val="0060780E"/>
    <w:rsid w:val="00612A7F"/>
    <w:rsid w:val="00613FE4"/>
    <w:rsid w:val="006140D9"/>
    <w:rsid w:val="00620A58"/>
    <w:rsid w:val="006213E1"/>
    <w:rsid w:val="00623318"/>
    <w:rsid w:val="00624D6A"/>
    <w:rsid w:val="00625BD9"/>
    <w:rsid w:val="00634733"/>
    <w:rsid w:val="00635B16"/>
    <w:rsid w:val="006402A2"/>
    <w:rsid w:val="0065343D"/>
    <w:rsid w:val="00661D73"/>
    <w:rsid w:val="00662328"/>
    <w:rsid w:val="00664F3A"/>
    <w:rsid w:val="00665F54"/>
    <w:rsid w:val="00667EA5"/>
    <w:rsid w:val="00675137"/>
    <w:rsid w:val="00675345"/>
    <w:rsid w:val="0067670C"/>
    <w:rsid w:val="0068437D"/>
    <w:rsid w:val="00686C9E"/>
    <w:rsid w:val="00694E83"/>
    <w:rsid w:val="006A0312"/>
    <w:rsid w:val="006A56D1"/>
    <w:rsid w:val="006C7A15"/>
    <w:rsid w:val="006D08A2"/>
    <w:rsid w:val="006E4829"/>
    <w:rsid w:val="00701AD2"/>
    <w:rsid w:val="007373A0"/>
    <w:rsid w:val="00744860"/>
    <w:rsid w:val="007461F6"/>
    <w:rsid w:val="00755082"/>
    <w:rsid w:val="0075517C"/>
    <w:rsid w:val="007620A8"/>
    <w:rsid w:val="00766308"/>
    <w:rsid w:val="00767FCD"/>
    <w:rsid w:val="007728BC"/>
    <w:rsid w:val="00783199"/>
    <w:rsid w:val="00794715"/>
    <w:rsid w:val="0079685D"/>
    <w:rsid w:val="007A14B2"/>
    <w:rsid w:val="007A3AF0"/>
    <w:rsid w:val="007B2A04"/>
    <w:rsid w:val="007B5425"/>
    <w:rsid w:val="007B5E13"/>
    <w:rsid w:val="007C7F67"/>
    <w:rsid w:val="007D51A3"/>
    <w:rsid w:val="007D6EF8"/>
    <w:rsid w:val="007E07C2"/>
    <w:rsid w:val="007E7F42"/>
    <w:rsid w:val="007F50B5"/>
    <w:rsid w:val="007F6B56"/>
    <w:rsid w:val="008125C9"/>
    <w:rsid w:val="00836FA3"/>
    <w:rsid w:val="00837A5F"/>
    <w:rsid w:val="008413C1"/>
    <w:rsid w:val="00843D02"/>
    <w:rsid w:val="00847D30"/>
    <w:rsid w:val="00862628"/>
    <w:rsid w:val="00864E95"/>
    <w:rsid w:val="00872827"/>
    <w:rsid w:val="0087372B"/>
    <w:rsid w:val="0087708E"/>
    <w:rsid w:val="008856C8"/>
    <w:rsid w:val="00886900"/>
    <w:rsid w:val="00887433"/>
    <w:rsid w:val="00893A80"/>
    <w:rsid w:val="0089495B"/>
    <w:rsid w:val="008A05CC"/>
    <w:rsid w:val="008A2010"/>
    <w:rsid w:val="008A2B96"/>
    <w:rsid w:val="008B0757"/>
    <w:rsid w:val="008B5EDB"/>
    <w:rsid w:val="008B78FC"/>
    <w:rsid w:val="008C06BD"/>
    <w:rsid w:val="008C6139"/>
    <w:rsid w:val="008D16E1"/>
    <w:rsid w:val="008E224C"/>
    <w:rsid w:val="008E3AF1"/>
    <w:rsid w:val="008E5335"/>
    <w:rsid w:val="008E636B"/>
    <w:rsid w:val="008F2E56"/>
    <w:rsid w:val="008F5A68"/>
    <w:rsid w:val="008F6DD8"/>
    <w:rsid w:val="00900254"/>
    <w:rsid w:val="0090108E"/>
    <w:rsid w:val="009014D8"/>
    <w:rsid w:val="00901D64"/>
    <w:rsid w:val="00904561"/>
    <w:rsid w:val="009056A0"/>
    <w:rsid w:val="00917236"/>
    <w:rsid w:val="009247F8"/>
    <w:rsid w:val="00925EEB"/>
    <w:rsid w:val="00934543"/>
    <w:rsid w:val="009352A3"/>
    <w:rsid w:val="00937C08"/>
    <w:rsid w:val="00945B06"/>
    <w:rsid w:val="00950F55"/>
    <w:rsid w:val="00951D63"/>
    <w:rsid w:val="00953183"/>
    <w:rsid w:val="0096231B"/>
    <w:rsid w:val="00964570"/>
    <w:rsid w:val="00974E23"/>
    <w:rsid w:val="00980D7B"/>
    <w:rsid w:val="00986FB4"/>
    <w:rsid w:val="00990D4E"/>
    <w:rsid w:val="009A237D"/>
    <w:rsid w:val="009A2C1C"/>
    <w:rsid w:val="009A5F04"/>
    <w:rsid w:val="009B15B6"/>
    <w:rsid w:val="009B1C69"/>
    <w:rsid w:val="009B6D7E"/>
    <w:rsid w:val="009B765A"/>
    <w:rsid w:val="009C36DE"/>
    <w:rsid w:val="009D462C"/>
    <w:rsid w:val="009D6B89"/>
    <w:rsid w:val="009E24F0"/>
    <w:rsid w:val="009E6B0D"/>
    <w:rsid w:val="009F0D86"/>
    <w:rsid w:val="009F4FC8"/>
    <w:rsid w:val="009F51F0"/>
    <w:rsid w:val="009F6509"/>
    <w:rsid w:val="00A113D9"/>
    <w:rsid w:val="00A143DB"/>
    <w:rsid w:val="00A14A20"/>
    <w:rsid w:val="00A32615"/>
    <w:rsid w:val="00A4205E"/>
    <w:rsid w:val="00A4340E"/>
    <w:rsid w:val="00A43461"/>
    <w:rsid w:val="00A50155"/>
    <w:rsid w:val="00A54861"/>
    <w:rsid w:val="00A56051"/>
    <w:rsid w:val="00A57180"/>
    <w:rsid w:val="00A63152"/>
    <w:rsid w:val="00A6718E"/>
    <w:rsid w:val="00A71E25"/>
    <w:rsid w:val="00A72BEA"/>
    <w:rsid w:val="00A72D56"/>
    <w:rsid w:val="00A74D9A"/>
    <w:rsid w:val="00A82CC1"/>
    <w:rsid w:val="00A8619C"/>
    <w:rsid w:val="00AA5EB2"/>
    <w:rsid w:val="00AA65CF"/>
    <w:rsid w:val="00AB5D34"/>
    <w:rsid w:val="00AC1BC5"/>
    <w:rsid w:val="00AC4D9B"/>
    <w:rsid w:val="00AC733E"/>
    <w:rsid w:val="00AD017F"/>
    <w:rsid w:val="00AD0F81"/>
    <w:rsid w:val="00AD3E30"/>
    <w:rsid w:val="00AE3616"/>
    <w:rsid w:val="00AF69DE"/>
    <w:rsid w:val="00B3694F"/>
    <w:rsid w:val="00B4066A"/>
    <w:rsid w:val="00B41E89"/>
    <w:rsid w:val="00B423CB"/>
    <w:rsid w:val="00B435CE"/>
    <w:rsid w:val="00B44D56"/>
    <w:rsid w:val="00B533BF"/>
    <w:rsid w:val="00B5348C"/>
    <w:rsid w:val="00B54E34"/>
    <w:rsid w:val="00B554A3"/>
    <w:rsid w:val="00B65B3C"/>
    <w:rsid w:val="00B70B25"/>
    <w:rsid w:val="00B74CE3"/>
    <w:rsid w:val="00B82031"/>
    <w:rsid w:val="00B84A14"/>
    <w:rsid w:val="00B91B19"/>
    <w:rsid w:val="00B93B9F"/>
    <w:rsid w:val="00B971E4"/>
    <w:rsid w:val="00B9729A"/>
    <w:rsid w:val="00BA0140"/>
    <w:rsid w:val="00BA5209"/>
    <w:rsid w:val="00BB20B5"/>
    <w:rsid w:val="00BB488A"/>
    <w:rsid w:val="00BC3E39"/>
    <w:rsid w:val="00BC6696"/>
    <w:rsid w:val="00BD5C9E"/>
    <w:rsid w:val="00BF0A01"/>
    <w:rsid w:val="00BF494C"/>
    <w:rsid w:val="00BF64EE"/>
    <w:rsid w:val="00BF6925"/>
    <w:rsid w:val="00C028AA"/>
    <w:rsid w:val="00C054B7"/>
    <w:rsid w:val="00C10AE8"/>
    <w:rsid w:val="00C12B18"/>
    <w:rsid w:val="00C13231"/>
    <w:rsid w:val="00C21799"/>
    <w:rsid w:val="00C23DF4"/>
    <w:rsid w:val="00C271B6"/>
    <w:rsid w:val="00C320DE"/>
    <w:rsid w:val="00C32C72"/>
    <w:rsid w:val="00C32D00"/>
    <w:rsid w:val="00C331D4"/>
    <w:rsid w:val="00C56121"/>
    <w:rsid w:val="00C56F34"/>
    <w:rsid w:val="00C60B86"/>
    <w:rsid w:val="00C629A0"/>
    <w:rsid w:val="00C70336"/>
    <w:rsid w:val="00C76DF9"/>
    <w:rsid w:val="00C77E72"/>
    <w:rsid w:val="00C80A86"/>
    <w:rsid w:val="00C83DDE"/>
    <w:rsid w:val="00C9072B"/>
    <w:rsid w:val="00C975C7"/>
    <w:rsid w:val="00C97E6B"/>
    <w:rsid w:val="00CA4C5B"/>
    <w:rsid w:val="00CB38B7"/>
    <w:rsid w:val="00CC460B"/>
    <w:rsid w:val="00CD3F4D"/>
    <w:rsid w:val="00CE0C98"/>
    <w:rsid w:val="00CE1FBF"/>
    <w:rsid w:val="00CF21EC"/>
    <w:rsid w:val="00CF254F"/>
    <w:rsid w:val="00CF438C"/>
    <w:rsid w:val="00CF7AE7"/>
    <w:rsid w:val="00D04334"/>
    <w:rsid w:val="00D04D1F"/>
    <w:rsid w:val="00D06226"/>
    <w:rsid w:val="00D172DA"/>
    <w:rsid w:val="00D21D8C"/>
    <w:rsid w:val="00D44415"/>
    <w:rsid w:val="00D478C1"/>
    <w:rsid w:val="00D47F42"/>
    <w:rsid w:val="00D5203B"/>
    <w:rsid w:val="00D52D9D"/>
    <w:rsid w:val="00D55C21"/>
    <w:rsid w:val="00D577FE"/>
    <w:rsid w:val="00D65DDF"/>
    <w:rsid w:val="00D72D29"/>
    <w:rsid w:val="00D762A0"/>
    <w:rsid w:val="00D83126"/>
    <w:rsid w:val="00D8424D"/>
    <w:rsid w:val="00D95BB0"/>
    <w:rsid w:val="00D95BB8"/>
    <w:rsid w:val="00DA2528"/>
    <w:rsid w:val="00DA32E6"/>
    <w:rsid w:val="00DA3405"/>
    <w:rsid w:val="00DA418A"/>
    <w:rsid w:val="00DB5E45"/>
    <w:rsid w:val="00DC063A"/>
    <w:rsid w:val="00DC52E4"/>
    <w:rsid w:val="00DC6DA3"/>
    <w:rsid w:val="00DE2F26"/>
    <w:rsid w:val="00DE38A3"/>
    <w:rsid w:val="00DE5B91"/>
    <w:rsid w:val="00DF19A7"/>
    <w:rsid w:val="00DF1CAC"/>
    <w:rsid w:val="00DF5897"/>
    <w:rsid w:val="00DF5925"/>
    <w:rsid w:val="00DF5E4A"/>
    <w:rsid w:val="00DF69E6"/>
    <w:rsid w:val="00E00957"/>
    <w:rsid w:val="00E05D44"/>
    <w:rsid w:val="00E2006C"/>
    <w:rsid w:val="00E20438"/>
    <w:rsid w:val="00E25BA9"/>
    <w:rsid w:val="00E25F2C"/>
    <w:rsid w:val="00E26E74"/>
    <w:rsid w:val="00E35201"/>
    <w:rsid w:val="00E433A5"/>
    <w:rsid w:val="00E44ADC"/>
    <w:rsid w:val="00E5028F"/>
    <w:rsid w:val="00E5110F"/>
    <w:rsid w:val="00E53AFE"/>
    <w:rsid w:val="00E56D24"/>
    <w:rsid w:val="00E570DA"/>
    <w:rsid w:val="00E60207"/>
    <w:rsid w:val="00E64F20"/>
    <w:rsid w:val="00E653EA"/>
    <w:rsid w:val="00E70659"/>
    <w:rsid w:val="00E76404"/>
    <w:rsid w:val="00E771F9"/>
    <w:rsid w:val="00E84FC1"/>
    <w:rsid w:val="00E9695F"/>
    <w:rsid w:val="00E96C93"/>
    <w:rsid w:val="00E97858"/>
    <w:rsid w:val="00EA242B"/>
    <w:rsid w:val="00EB234C"/>
    <w:rsid w:val="00EB24BA"/>
    <w:rsid w:val="00EC1F3F"/>
    <w:rsid w:val="00EC2ABC"/>
    <w:rsid w:val="00EC3C5B"/>
    <w:rsid w:val="00EE4B94"/>
    <w:rsid w:val="00EE7C55"/>
    <w:rsid w:val="00EF0EDA"/>
    <w:rsid w:val="00EF2D02"/>
    <w:rsid w:val="00EF688F"/>
    <w:rsid w:val="00F0637A"/>
    <w:rsid w:val="00F102D9"/>
    <w:rsid w:val="00F16442"/>
    <w:rsid w:val="00F16DC6"/>
    <w:rsid w:val="00F16EB3"/>
    <w:rsid w:val="00F201B7"/>
    <w:rsid w:val="00F24FB5"/>
    <w:rsid w:val="00F25CF4"/>
    <w:rsid w:val="00F25F62"/>
    <w:rsid w:val="00F319F4"/>
    <w:rsid w:val="00F32AFA"/>
    <w:rsid w:val="00F33A82"/>
    <w:rsid w:val="00F40929"/>
    <w:rsid w:val="00F4305C"/>
    <w:rsid w:val="00F63270"/>
    <w:rsid w:val="00F81B1E"/>
    <w:rsid w:val="00F82181"/>
    <w:rsid w:val="00F90859"/>
    <w:rsid w:val="00FA513B"/>
    <w:rsid w:val="00FB1A34"/>
    <w:rsid w:val="00FB370D"/>
    <w:rsid w:val="00FB3CE9"/>
    <w:rsid w:val="00FB7B0E"/>
    <w:rsid w:val="00FC7A72"/>
    <w:rsid w:val="00FD235D"/>
    <w:rsid w:val="00FD5007"/>
    <w:rsid w:val="00FD7A0B"/>
    <w:rsid w:val="00FE717E"/>
    <w:rsid w:val="00FF063C"/>
    <w:rsid w:val="00FF3A3F"/>
    <w:rsid w:val="00FF5344"/>
    <w:rsid w:val="00FF61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25EF1B32"/>
  <w15:docId w15:val="{C479AF3A-6A16-45BA-899B-A9BDE3D3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tabs>
        <w:tab w:val="left" w:pos="567"/>
      </w:tabs>
      <w:spacing w:line="260" w:lineRule="exact"/>
    </w:pPr>
    <w:rPr>
      <w:rFonts w:eastAsia="Times New Roman"/>
      <w:sz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qFormat/>
  </w:style>
  <w:style w:type="character" w:styleId="Hyperlink">
    <w:name w:val="Hyperlink"/>
    <w:rPr>
      <w:color w:val="0000FF"/>
      <w:u w:val="single"/>
    </w:rPr>
  </w:style>
  <w:style w:type="character" w:customStyle="1" w:styleId="BodytextAgencyChar">
    <w:name w:val="Body text (Agency) Char"/>
    <w:link w:val="BodytextAgency"/>
    <w:qFormat/>
    <w:rPr>
      <w:rFonts w:ascii="Verdana" w:eastAsia="Verdana" w:hAnsi="Verdana" w:cs="Verdana"/>
      <w:sz w:val="18"/>
      <w:szCs w:val="18"/>
      <w:lang w:val="en-GB" w:eastAsia="en-GB" w:bidi="ar-SA"/>
    </w:rPr>
  </w:style>
  <w:style w:type="character" w:customStyle="1" w:styleId="DraftingNotesAgencyChar">
    <w:name w:val="Drafting Notes (Agency) Char"/>
    <w:link w:val="DraftingNotesAgency"/>
    <w:qFormat/>
    <w:rPr>
      <w:rFonts w:ascii="Courier New" w:eastAsia="Verdana" w:hAnsi="Courier New"/>
      <w:i/>
      <w:color w:val="339966"/>
      <w:sz w:val="22"/>
      <w:szCs w:val="18"/>
      <w:lang w:val="en-GB" w:eastAsia="en-GB" w:bidi="ar-SA"/>
    </w:rPr>
  </w:style>
  <w:style w:type="character" w:customStyle="1" w:styleId="NormalAgencyChar">
    <w:name w:val="Normal (Agency) Char"/>
    <w:link w:val="NormalAgency"/>
    <w:qFormat/>
    <w:rPr>
      <w:rFonts w:ascii="Verdana" w:eastAsia="Verdana" w:hAnsi="Verdana" w:cs="Verdana"/>
      <w:sz w:val="18"/>
      <w:szCs w:val="18"/>
      <w:lang w:val="en-GB" w:eastAsia="en-GB" w:bidi="ar-SA"/>
    </w:rPr>
  </w:style>
  <w:style w:type="character" w:styleId="Verwijzingopmerking">
    <w:name w:val="annotation reference"/>
    <w:uiPriority w:val="99"/>
    <w:qFormat/>
    <w:rPr>
      <w:sz w:val="16"/>
      <w:szCs w:val="16"/>
    </w:rPr>
  </w:style>
  <w:style w:type="character" w:customStyle="1" w:styleId="TekstopmerkingChar">
    <w:name w:val="Tekst opmerking Char"/>
    <w:link w:val="Tekstopmerking"/>
    <w:uiPriority w:val="99"/>
    <w:qFormat/>
    <w:rPr>
      <w:rFonts w:eastAsia="Times New Roman"/>
      <w:lang w:eastAsia="en-US"/>
    </w:rPr>
  </w:style>
  <w:style w:type="character" w:customStyle="1" w:styleId="OnderwerpvanopmerkingChar">
    <w:name w:val="Onderwerp van opmerking Char"/>
    <w:link w:val="Onderwerpvanopmerking"/>
    <w:qFormat/>
    <w:rPr>
      <w:rFonts w:eastAsia="Times New Roman"/>
      <w:b/>
      <w:bCs/>
      <w:lang w:eastAsia="en-US"/>
    </w:rPr>
  </w:style>
  <w:style w:type="character" w:customStyle="1" w:styleId="TblFootnoteChar">
    <w:name w:val="Tbl Footnote Char"/>
    <w:link w:val="TblFootnote"/>
    <w:uiPriority w:val="99"/>
    <w:qFormat/>
    <w:rPr>
      <w:rFonts w:eastAsia="Times New Roman"/>
      <w:lang w:val="en-US" w:eastAsia="en-US"/>
    </w:rPr>
  </w:style>
  <w:style w:type="character" w:customStyle="1" w:styleId="KoptekstChar">
    <w:name w:val="Koptekst Char"/>
    <w:link w:val="Koptekst"/>
    <w:qFormat/>
    <w:rPr>
      <w:rFonts w:ascii="Arial" w:eastAsia="Times New Roman" w:hAnsi="Arial"/>
      <w:lang w:eastAsia="en-US"/>
    </w:rPr>
  </w:style>
  <w:style w:type="character" w:customStyle="1" w:styleId="PLRTextUnindentedChar">
    <w:name w:val="PLR_Text_Unindented Char"/>
    <w:link w:val="PLRTextUnindented"/>
    <w:qFormat/>
    <w:rPr>
      <w:rFonts w:ascii="Arial" w:eastAsia="Times New Roman" w:hAnsi="Arial"/>
      <w:lang w:val="en-US" w:eastAsia="en-US"/>
    </w:rPr>
  </w:style>
  <w:style w:type="character" w:customStyle="1" w:styleId="PLRBodyTextIndentedCharChar">
    <w:name w:val="PLR_Body Text Indented Char Char"/>
    <w:link w:val="PLRBodyTextIndented"/>
    <w:qFormat/>
    <w:rPr>
      <w:rFonts w:ascii="Arial" w:eastAsia="Times New Roman" w:hAnsi="Arial"/>
      <w:lang w:val="en-US" w:eastAsia="en-US"/>
    </w:rPr>
  </w:style>
  <w:style w:type="character" w:styleId="GevolgdeHyperlink">
    <w:name w:val="FollowedHyperlink"/>
    <w:basedOn w:val="Standaardalinea-lettertype"/>
    <w:rPr>
      <w:color w:val="954F72" w:themeColor="followedHyperlink"/>
      <w:u w:val="single"/>
    </w:rPr>
  </w:style>
  <w:style w:type="character" w:customStyle="1" w:styleId="cf01">
    <w:name w:val="cf01"/>
    <w:basedOn w:val="Standaardalinea-lettertype"/>
    <w:qFormat/>
    <w:rPr>
      <w:rFonts w:ascii="Segoe UI" w:hAnsi="Segoe UI" w:cs="Segoe UI"/>
      <w:b/>
      <w:bCs/>
      <w:color w:val="262626"/>
      <w:sz w:val="28"/>
      <w:szCs w:val="28"/>
    </w:rPr>
  </w:style>
  <w:style w:type="character" w:customStyle="1" w:styleId="Mention1">
    <w:name w:val="Mention1"/>
    <w:basedOn w:val="Standaardalinea-lettertype"/>
    <w:uiPriority w:val="99"/>
    <w:unhideWhenUsed/>
    <w:qFormat/>
    <w:rPr>
      <w:color w:val="2B579A"/>
      <w:shd w:val="clear" w:color="auto" w:fill="E1DFDD"/>
    </w:rPr>
  </w:style>
  <w:style w:type="character" w:customStyle="1" w:styleId="CovanceBodyTextChar">
    <w:name w:val="Covance Body Text Char"/>
    <w:basedOn w:val="Standaardalinea-lettertype"/>
    <w:link w:val="CovanceBodyText"/>
    <w:qFormat/>
    <w:rPr>
      <w:rFonts w:eastAsia="Times New Roman"/>
      <w:sz w:val="24"/>
      <w:szCs w:val="24"/>
      <w:lang w:val="en-US" w:eastAsia="en-US"/>
    </w:rPr>
  </w:style>
  <w:style w:type="character" w:customStyle="1" w:styleId="UnresolvedMention1">
    <w:name w:val="Unresolved Mention1"/>
    <w:basedOn w:val="Standaardalinea-lettertype"/>
    <w:uiPriority w:val="99"/>
    <w:qFormat/>
    <w:rPr>
      <w:color w:val="605E5C"/>
      <w:shd w:val="clear" w:color="auto" w:fill="E1DFDD"/>
    </w:rPr>
  </w:style>
  <w:style w:type="character" w:customStyle="1" w:styleId="VoettekstChar">
    <w:name w:val="Voettekst Char"/>
    <w:link w:val="Voettekst"/>
    <w:uiPriority w:val="99"/>
    <w:qFormat/>
    <w:rPr>
      <w:rFonts w:ascii="Arial" w:eastAsia="Times New Roman" w:hAnsi="Arial"/>
      <w:sz w:val="16"/>
      <w:lang w:eastAsia="en-US"/>
    </w:rPr>
  </w:style>
  <w:style w:type="character" w:customStyle="1" w:styleId="normaltextrun">
    <w:name w:val="normaltextrun"/>
    <w:basedOn w:val="Standaardalinea-lettertype"/>
    <w:qFormat/>
  </w:style>
  <w:style w:type="character" w:customStyle="1" w:styleId="eop">
    <w:name w:val="eop"/>
    <w:basedOn w:val="Standaardalinea-lettertype"/>
    <w:qFormat/>
  </w:style>
  <w:style w:type="character" w:customStyle="1" w:styleId="LijstalineaChar">
    <w:name w:val="Lijstalinea Char"/>
    <w:basedOn w:val="Standaardalinea-lettertype"/>
    <w:link w:val="Lijstalinea"/>
    <w:uiPriority w:val="34"/>
    <w:qFormat/>
    <w:locked/>
    <w:rPr>
      <w:rFonts w:eastAsia="Times New Roman"/>
      <w:sz w:val="22"/>
      <w:lang w:eastAsia="en-US"/>
    </w:rPr>
  </w:style>
  <w:style w:type="character" w:customStyle="1" w:styleId="BallontekstChar">
    <w:name w:val="Ballontekst Char"/>
    <w:basedOn w:val="Standaardalinea-lettertype"/>
    <w:link w:val="Ballontekst"/>
    <w:uiPriority w:val="99"/>
    <w:semiHidden/>
    <w:qFormat/>
    <w:rPr>
      <w:rFonts w:ascii="Tahoma" w:eastAsia="Times New Roman" w:hAnsi="Tahoma" w:cs="Tahoma"/>
      <w:sz w:val="16"/>
      <w:szCs w:val="16"/>
      <w:lang w:eastAsia="en-US"/>
    </w:rPr>
  </w:style>
  <w:style w:type="character" w:customStyle="1" w:styleId="cmcTblEntryCChar">
    <w:name w:val="cmc_TblEntry/C Char"/>
    <w:basedOn w:val="Standaardalinea-lettertype"/>
    <w:uiPriority w:val="99"/>
    <w:qFormat/>
    <w:rPr>
      <w:rFonts w:eastAsia="Times New Roman"/>
      <w:lang w:val="en-US" w:eastAsia="en-US"/>
    </w:rPr>
  </w:style>
  <w:style w:type="character" w:customStyle="1" w:styleId="ParagraphChar">
    <w:name w:val="Paragraph Char"/>
    <w:basedOn w:val="Standaardalinea-lettertype"/>
    <w:link w:val="Paragraph"/>
    <w:qFormat/>
    <w:rPr>
      <w:rFonts w:eastAsiaTheme="minorEastAsia" w:cstheme="minorBidi"/>
      <w:sz w:val="24"/>
      <w:szCs w:val="22"/>
      <w:lang w:val="en-US" w:eastAsia="en-US"/>
    </w:rPr>
  </w:style>
  <w:style w:type="character" w:customStyle="1" w:styleId="TitelChar">
    <w:name w:val="Titel Char"/>
    <w:basedOn w:val="Standaardalinea-lettertype"/>
    <w:link w:val="Titel"/>
    <w:qFormat/>
    <w:rPr>
      <w:rFonts w:asciiTheme="majorHAnsi" w:eastAsiaTheme="majorEastAsia" w:hAnsiTheme="majorHAnsi" w:cstheme="majorBidi"/>
      <w:spacing w:val="-10"/>
      <w:kern w:val="2"/>
      <w:sz w:val="56"/>
      <w:szCs w:val="56"/>
      <w:lang w:eastAsia="en-US"/>
    </w:rPr>
  </w:style>
  <w:style w:type="character" w:styleId="Regelnummer">
    <w:name w:val="line number"/>
    <w:basedOn w:val="Standaardalinea-lettertype"/>
    <w:qFormat/>
  </w:style>
  <w:style w:type="character" w:customStyle="1" w:styleId="EndnoteCharacters">
    <w:name w:val="Endnote Characters"/>
    <w:qFormat/>
  </w:style>
  <w:style w:type="paragraph" w:customStyle="1" w:styleId="Heading">
    <w:name w:val="Heading"/>
    <w:basedOn w:val="Standaard"/>
    <w:next w:val="Plattetekst"/>
    <w:qFormat/>
    <w:pPr>
      <w:keepNext/>
      <w:spacing w:before="240" w:after="120"/>
    </w:pPr>
    <w:rPr>
      <w:rFonts w:ascii="Liberation Sans" w:eastAsia="Noto Sans CJK SC" w:hAnsi="Liberation Sans" w:cs="Lohit Devanagari"/>
      <w:sz w:val="28"/>
      <w:szCs w:val="28"/>
    </w:rPr>
  </w:style>
  <w:style w:type="paragraph" w:styleId="Plattetekst">
    <w:name w:val="Body Text"/>
    <w:basedOn w:val="Standaard"/>
    <w:pPr>
      <w:tabs>
        <w:tab w:val="clear" w:pos="567"/>
      </w:tabs>
      <w:spacing w:line="240" w:lineRule="auto"/>
    </w:pPr>
    <w:rPr>
      <w:i/>
      <w:color w:val="008000"/>
    </w:r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sz w:val="24"/>
      <w:szCs w:val="24"/>
    </w:rPr>
  </w:style>
  <w:style w:type="paragraph" w:customStyle="1" w:styleId="Index">
    <w:name w:val="Index"/>
    <w:basedOn w:val="Standaard"/>
    <w:qFormat/>
    <w:pPr>
      <w:suppressLineNumbers/>
    </w:pPr>
    <w:rPr>
      <w:rFonts w:cs="Lohit Devanagari"/>
    </w:rPr>
  </w:style>
  <w:style w:type="paragraph" w:customStyle="1" w:styleId="HeaderandFooter">
    <w:name w:val="Header and Footer"/>
    <w:basedOn w:val="Standaard"/>
    <w:qFormat/>
  </w:style>
  <w:style w:type="paragraph" w:styleId="Voettekst">
    <w:name w:val="footer"/>
    <w:basedOn w:val="Standaard"/>
    <w:link w:val="VoettekstChar"/>
    <w:uiPriority w:val="99"/>
    <w:pPr>
      <w:tabs>
        <w:tab w:val="center" w:pos="4536"/>
        <w:tab w:val="right" w:pos="8306"/>
      </w:tabs>
    </w:pPr>
    <w:rPr>
      <w:rFonts w:ascii="Arial" w:hAnsi="Arial"/>
      <w:sz w:val="16"/>
    </w:rPr>
  </w:style>
  <w:style w:type="paragraph" w:styleId="Koptekst">
    <w:name w:val="header"/>
    <w:basedOn w:val="Standaard"/>
    <w:link w:val="KoptekstChar"/>
    <w:pPr>
      <w:tabs>
        <w:tab w:val="center" w:pos="4153"/>
        <w:tab w:val="right" w:pos="8306"/>
      </w:tabs>
    </w:pPr>
    <w:rPr>
      <w:rFonts w:ascii="Arial" w:hAnsi="Arial"/>
      <w:sz w:val="20"/>
    </w:rPr>
  </w:style>
  <w:style w:type="paragraph" w:customStyle="1" w:styleId="MemoHeaderStyle">
    <w:name w:val="MemoHeaderStyle"/>
    <w:basedOn w:val="Standaard"/>
    <w:next w:val="Standaard"/>
    <w:qFormat/>
    <w:pPr>
      <w:spacing w:line="120" w:lineRule="atLeast"/>
      <w:ind w:left="1418"/>
      <w:jc w:val="both"/>
    </w:pPr>
    <w:rPr>
      <w:rFonts w:ascii="Arial" w:hAnsi="Arial"/>
      <w:b/>
      <w:smallCaps/>
    </w:rPr>
  </w:style>
  <w:style w:type="paragraph" w:styleId="Tekstopmerking">
    <w:name w:val="annotation text"/>
    <w:basedOn w:val="Standaard"/>
    <w:link w:val="TekstopmerkingChar"/>
    <w:uiPriority w:val="99"/>
    <w:qFormat/>
    <w:rPr>
      <w:sz w:val="20"/>
    </w:rPr>
  </w:style>
  <w:style w:type="paragraph" w:customStyle="1" w:styleId="EMEAEnBodyText">
    <w:name w:val="EMEA En Body Text"/>
    <w:basedOn w:val="Standaard"/>
    <w:qFormat/>
    <w:pPr>
      <w:tabs>
        <w:tab w:val="clear" w:pos="567"/>
      </w:tabs>
      <w:spacing w:before="120" w:after="120" w:line="240" w:lineRule="auto"/>
      <w:jc w:val="both"/>
    </w:pPr>
    <w:rPr>
      <w:lang w:val="en-US"/>
    </w:rPr>
  </w:style>
  <w:style w:type="paragraph" w:styleId="Ballontekst">
    <w:name w:val="Balloon Text"/>
    <w:basedOn w:val="Standaard"/>
    <w:link w:val="BallontekstChar"/>
    <w:uiPriority w:val="99"/>
    <w:semiHidden/>
    <w:qFormat/>
    <w:rPr>
      <w:rFonts w:ascii="Tahoma" w:hAnsi="Tahoma" w:cs="Tahoma"/>
      <w:sz w:val="16"/>
      <w:szCs w:val="16"/>
    </w:rPr>
  </w:style>
  <w:style w:type="paragraph" w:customStyle="1" w:styleId="BodytextAgency">
    <w:name w:val="Body text (Agency)"/>
    <w:basedOn w:val="Standaard"/>
    <w:link w:val="BodytextAgencyChar"/>
    <w:qFormat/>
    <w:pPr>
      <w:tabs>
        <w:tab w:val="clear" w:pos="567"/>
      </w:tabs>
      <w:spacing w:after="140" w:line="280" w:lineRule="atLeast"/>
    </w:pPr>
    <w:rPr>
      <w:rFonts w:ascii="Verdana" w:eastAsia="Verdana" w:hAnsi="Verdana" w:cs="Verdana"/>
      <w:sz w:val="18"/>
      <w:szCs w:val="18"/>
      <w:lang w:eastAsia="en-GB"/>
    </w:rPr>
  </w:style>
  <w:style w:type="paragraph" w:customStyle="1" w:styleId="DraftingNotesAgency">
    <w:name w:val="Drafting Notes (Agency)"/>
    <w:basedOn w:val="Standaard"/>
    <w:next w:val="BodytextAgency"/>
    <w:link w:val="DraftingNotesAgencyChar"/>
    <w:qFormat/>
    <w:pPr>
      <w:tabs>
        <w:tab w:val="clear" w:pos="567"/>
      </w:tabs>
      <w:spacing w:after="140" w:line="280" w:lineRule="atLeast"/>
    </w:pPr>
    <w:rPr>
      <w:rFonts w:ascii="Courier New" w:eastAsia="Verdana" w:hAnsi="Courier New"/>
      <w:i/>
      <w:color w:val="339966"/>
      <w:szCs w:val="18"/>
      <w:lang w:eastAsia="en-GB"/>
    </w:rPr>
  </w:style>
  <w:style w:type="paragraph" w:customStyle="1" w:styleId="NormalAgency">
    <w:name w:val="Normal (Agency)"/>
    <w:link w:val="NormalAgencyChar"/>
    <w:qFormat/>
    <w:rPr>
      <w:rFonts w:ascii="Verdana" w:eastAsia="Verdana" w:hAnsi="Verdana" w:cs="Verdana"/>
      <w:sz w:val="18"/>
      <w:szCs w:val="18"/>
    </w:rPr>
  </w:style>
  <w:style w:type="paragraph" w:customStyle="1" w:styleId="TableheadingrowsAgency">
    <w:name w:val="Table heading rows (Agency)"/>
    <w:basedOn w:val="BodytextAgency"/>
    <w:qFormat/>
    <w:pPr>
      <w:keepNext/>
    </w:pPr>
    <w:rPr>
      <w:rFonts w:eastAsia="Times New Roman"/>
      <w:b/>
    </w:rPr>
  </w:style>
  <w:style w:type="paragraph" w:customStyle="1" w:styleId="TabletextrowsAgency">
    <w:name w:val="Table text rows (Agency)"/>
    <w:basedOn w:val="Standaard"/>
    <w:qFormat/>
    <w:pPr>
      <w:tabs>
        <w:tab w:val="clear" w:pos="567"/>
      </w:tabs>
      <w:spacing w:line="280" w:lineRule="exact"/>
    </w:pPr>
    <w:rPr>
      <w:rFonts w:ascii="Verdana" w:hAnsi="Verdana" w:cs="Verdana"/>
      <w:sz w:val="18"/>
      <w:szCs w:val="18"/>
      <w:lang w:eastAsia="zh-CN"/>
    </w:rPr>
  </w:style>
  <w:style w:type="paragraph" w:styleId="Onderwerpvanopmerking">
    <w:name w:val="annotation subject"/>
    <w:basedOn w:val="Tekstopmerking"/>
    <w:next w:val="Tekstopmerking"/>
    <w:link w:val="OnderwerpvanopmerkingChar"/>
    <w:qFormat/>
    <w:rPr>
      <w:b/>
      <w:bCs/>
    </w:rPr>
  </w:style>
  <w:style w:type="paragraph" w:styleId="Revisie">
    <w:name w:val="Revision"/>
    <w:uiPriority w:val="99"/>
    <w:semiHidden/>
    <w:qFormat/>
    <w:rPr>
      <w:rFonts w:eastAsia="Times New Roman"/>
      <w:sz w:val="22"/>
      <w:lang w:eastAsia="en-US"/>
    </w:rPr>
  </w:style>
  <w:style w:type="paragraph" w:customStyle="1" w:styleId="Default">
    <w:name w:val="Default"/>
    <w:qFormat/>
    <w:rPr>
      <w:color w:val="000000"/>
      <w:sz w:val="24"/>
      <w:szCs w:val="24"/>
    </w:rPr>
  </w:style>
  <w:style w:type="paragraph" w:customStyle="1" w:styleId="TblFootnote">
    <w:name w:val="Tbl Footnote"/>
    <w:basedOn w:val="Standaard"/>
    <w:next w:val="Standaard"/>
    <w:link w:val="TblFootnoteChar"/>
    <w:uiPriority w:val="99"/>
    <w:qFormat/>
    <w:pPr>
      <w:keepNext/>
      <w:keepLines/>
      <w:tabs>
        <w:tab w:val="clear" w:pos="567"/>
        <w:tab w:val="left" w:pos="259"/>
      </w:tabs>
      <w:spacing w:line="259" w:lineRule="atLeast"/>
      <w:ind w:left="259" w:hanging="259"/>
    </w:pPr>
    <w:rPr>
      <w:sz w:val="20"/>
      <w:lang w:val="en-US"/>
    </w:rPr>
  </w:style>
  <w:style w:type="paragraph" w:customStyle="1" w:styleId="PLRTextUnindented">
    <w:name w:val="PLR_Text_Unindented"/>
    <w:basedOn w:val="Standaard"/>
    <w:link w:val="PLRTextUnindentedChar"/>
    <w:qFormat/>
    <w:pPr>
      <w:tabs>
        <w:tab w:val="clear" w:pos="567"/>
      </w:tabs>
      <w:spacing w:line="240" w:lineRule="auto"/>
    </w:pPr>
    <w:rPr>
      <w:rFonts w:ascii="Arial" w:hAnsi="Arial"/>
      <w:sz w:val="20"/>
      <w:lang w:val="en-US"/>
    </w:rPr>
  </w:style>
  <w:style w:type="paragraph" w:customStyle="1" w:styleId="PLRBodyTextIndented">
    <w:name w:val="PLR_Body Text Indented"/>
    <w:link w:val="PLRBodyTextIndentedCharChar"/>
    <w:qFormat/>
    <w:pPr>
      <w:ind w:firstLine="648"/>
    </w:pPr>
    <w:rPr>
      <w:rFonts w:ascii="Arial" w:eastAsia="Times New Roman" w:hAnsi="Arial"/>
      <w:sz w:val="22"/>
      <w:lang w:val="en-US" w:eastAsia="en-US"/>
    </w:rPr>
  </w:style>
  <w:style w:type="paragraph" w:customStyle="1" w:styleId="PLRHeading2">
    <w:name w:val="PLR_Heading 2"/>
    <w:basedOn w:val="Standaard"/>
    <w:next w:val="PLRBodyTextIndented"/>
    <w:qFormat/>
    <w:pPr>
      <w:tabs>
        <w:tab w:val="clear" w:pos="567"/>
        <w:tab w:val="left" w:pos="648"/>
      </w:tabs>
      <w:spacing w:before="60" w:line="240" w:lineRule="auto"/>
    </w:pPr>
    <w:rPr>
      <w:rFonts w:ascii="Arial" w:hAnsi="Arial"/>
      <w:b/>
      <w:sz w:val="20"/>
      <w:lang w:val="en-US"/>
    </w:rPr>
  </w:style>
  <w:style w:type="paragraph" w:styleId="Normaalweb">
    <w:name w:val="Normal (Web)"/>
    <w:basedOn w:val="Standaard"/>
    <w:uiPriority w:val="99"/>
    <w:unhideWhenUsed/>
    <w:qFormat/>
    <w:pPr>
      <w:tabs>
        <w:tab w:val="clear" w:pos="567"/>
      </w:tabs>
      <w:spacing w:beforeAutospacing="1" w:afterAutospacing="1" w:line="240" w:lineRule="auto"/>
    </w:pPr>
    <w:rPr>
      <w:sz w:val="24"/>
      <w:szCs w:val="24"/>
      <w:lang w:eastAsia="en-GB"/>
    </w:rPr>
  </w:style>
  <w:style w:type="paragraph" w:styleId="Lijstalinea">
    <w:name w:val="List Paragraph"/>
    <w:basedOn w:val="Standaard"/>
    <w:link w:val="LijstalineaChar"/>
    <w:uiPriority w:val="34"/>
    <w:qFormat/>
    <w:pPr>
      <w:ind w:left="720"/>
      <w:contextualSpacing/>
    </w:pPr>
  </w:style>
  <w:style w:type="paragraph" w:customStyle="1" w:styleId="CovanceBodyText">
    <w:name w:val="Covance Body Text"/>
    <w:basedOn w:val="Plattetekst"/>
    <w:link w:val="CovanceBodyTextChar"/>
    <w:qFormat/>
    <w:pPr>
      <w:spacing w:before="240" w:after="240"/>
    </w:pPr>
    <w:rPr>
      <w:i w:val="0"/>
      <w:color w:val="auto"/>
      <w:sz w:val="24"/>
      <w:szCs w:val="24"/>
      <w:lang w:val="en-US"/>
    </w:rPr>
  </w:style>
  <w:style w:type="paragraph" w:customStyle="1" w:styleId="cmcTblEntryC">
    <w:name w:val="cmc_TblEntry/C"/>
    <w:basedOn w:val="Standaard"/>
    <w:uiPriority w:val="99"/>
    <w:qFormat/>
    <w:pPr>
      <w:keepNext/>
      <w:keepLines/>
      <w:tabs>
        <w:tab w:val="clear" w:pos="567"/>
      </w:tabs>
      <w:spacing w:before="14" w:after="144" w:line="300" w:lineRule="exact"/>
      <w:jc w:val="center"/>
    </w:pPr>
    <w:rPr>
      <w:sz w:val="20"/>
      <w:lang w:val="en-US"/>
    </w:rPr>
  </w:style>
  <w:style w:type="paragraph" w:customStyle="1" w:styleId="Paragraph">
    <w:name w:val="Paragraph"/>
    <w:link w:val="ParagraphChar"/>
    <w:qFormat/>
    <w:pPr>
      <w:spacing w:before="240" w:after="240" w:line="300" w:lineRule="exact"/>
    </w:pPr>
    <w:rPr>
      <w:rFonts w:eastAsiaTheme="minorEastAsia" w:cstheme="minorBidi"/>
      <w:sz w:val="24"/>
      <w:szCs w:val="22"/>
      <w:lang w:val="en-US" w:eastAsia="en-US"/>
    </w:rPr>
  </w:style>
  <w:style w:type="paragraph" w:customStyle="1" w:styleId="TitleA">
    <w:name w:val="Title A"/>
    <w:basedOn w:val="Standaard"/>
    <w:qFormat/>
    <w:pPr>
      <w:spacing w:line="240" w:lineRule="auto"/>
      <w:jc w:val="center"/>
      <w:outlineLvl w:val="0"/>
    </w:pPr>
    <w:rPr>
      <w:b/>
    </w:rPr>
  </w:style>
  <w:style w:type="paragraph" w:customStyle="1" w:styleId="TitleB">
    <w:name w:val="Title B"/>
    <w:basedOn w:val="Standaard"/>
    <w:qFormat/>
    <w:pPr>
      <w:spacing w:line="240" w:lineRule="auto"/>
      <w:ind w:left="567" w:hanging="567"/>
    </w:pPr>
    <w:rPr>
      <w:b/>
      <w:szCs w:val="22"/>
    </w:rPr>
  </w:style>
  <w:style w:type="paragraph" w:styleId="Titel">
    <w:name w:val="Title"/>
    <w:basedOn w:val="Standaard"/>
    <w:next w:val="Standaard"/>
    <w:link w:val="TitelChar"/>
    <w:qFormat/>
    <w:pPr>
      <w:spacing w:line="240" w:lineRule="auto"/>
      <w:contextualSpacing/>
    </w:pPr>
    <w:rPr>
      <w:rFonts w:asciiTheme="majorHAnsi" w:eastAsiaTheme="majorEastAsia" w:hAnsiTheme="majorHAnsi" w:cstheme="majorBidi"/>
      <w:spacing w:val="-10"/>
      <w:kern w:val="2"/>
      <w:sz w:val="56"/>
      <w:szCs w:val="56"/>
    </w:rPr>
  </w:style>
  <w:style w:type="table" w:customStyle="1" w:styleId="TablegridAgencyblack">
    <w:name w:val="Table grid (Agency) black"/>
    <w:basedOn w:val="Standaardtabel"/>
    <w:semiHidden/>
    <w:rPr>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styleId="Tabelraster">
    <w:name w:val="Table Grid"/>
    <w:basedOn w:val="Standaardtabe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umheading3AgencyChar">
    <w:name w:val="No-num heading 3 (Agency) Char"/>
    <w:link w:val="No-numheading3Agency"/>
    <w:locked/>
    <w:rsid w:val="00200CD6"/>
    <w:rPr>
      <w:rFonts w:ascii="Verdana" w:hAnsi="Verdana"/>
      <w:b/>
      <w:kern w:val="32"/>
      <w:sz w:val="22"/>
    </w:rPr>
  </w:style>
  <w:style w:type="paragraph" w:customStyle="1" w:styleId="No-numheading3Agency">
    <w:name w:val="No-num heading 3 (Agency)"/>
    <w:basedOn w:val="Standaard"/>
    <w:next w:val="BodytextAgency"/>
    <w:link w:val="No-numheading3AgencyChar"/>
    <w:rsid w:val="00200CD6"/>
    <w:pPr>
      <w:keepNext/>
      <w:tabs>
        <w:tab w:val="clear" w:pos="567"/>
      </w:tabs>
      <w:suppressAutoHyphens w:val="0"/>
      <w:spacing w:before="280" w:after="220" w:line="240" w:lineRule="auto"/>
      <w:outlineLvl w:val="2"/>
    </w:pPr>
    <w:rPr>
      <w:rFonts w:ascii="Verdana" w:eastAsia="SimSun" w:hAnsi="Verdana"/>
      <w:b/>
      <w:kern w:val="32"/>
      <w:lang w:eastAsia="en-GB"/>
    </w:rPr>
  </w:style>
  <w:style w:type="paragraph" w:customStyle="1" w:styleId="PLRTableHeading1">
    <w:name w:val="PLR_Table Heading 1"/>
    <w:basedOn w:val="Standaard"/>
    <w:qFormat/>
    <w:rsid w:val="001A41A5"/>
    <w:pPr>
      <w:tabs>
        <w:tab w:val="clear" w:pos="567"/>
      </w:tabs>
      <w:suppressAutoHyphens w:val="0"/>
      <w:spacing w:before="40" w:after="40" w:line="240" w:lineRule="auto"/>
    </w:pPr>
    <w:rPr>
      <w:rFonts w:ascii="Arial" w:eastAsiaTheme="minorHAnsi" w:hAnsi="Arial" w:cs="Arial"/>
      <w:b/>
      <w:color w:val="000000" w:themeColor="text1"/>
      <w:sz w:val="20"/>
      <w:szCs w:val="22"/>
      <w:lang w:val="en-US"/>
    </w:rPr>
  </w:style>
  <w:style w:type="paragraph" w:customStyle="1" w:styleId="PLRTable1stLevelIndent">
    <w:name w:val="PLR_Table 1st Level Indent"/>
    <w:qFormat/>
    <w:rsid w:val="001A41A5"/>
    <w:pPr>
      <w:suppressAutoHyphens w:val="0"/>
      <w:spacing w:before="40" w:after="40"/>
    </w:pPr>
    <w:rPr>
      <w:rFonts w:ascii="Arial" w:eastAsiaTheme="minorHAnsi" w:hAnsi="Arial" w:cs="Arial"/>
      <w:color w:val="000000" w:themeColor="text1"/>
      <w:szCs w:val="22"/>
      <w:lang w:val="en-US" w:eastAsia="en-US"/>
    </w:rPr>
  </w:style>
  <w:style w:type="paragraph" w:customStyle="1" w:styleId="PLRTable2ndLevelIndent">
    <w:name w:val="PLR_Table 2nd Level Indent"/>
    <w:qFormat/>
    <w:rsid w:val="001A41A5"/>
    <w:pPr>
      <w:suppressAutoHyphens w:val="0"/>
      <w:spacing w:before="40" w:after="40"/>
      <w:ind w:left="317"/>
    </w:pPr>
    <w:rPr>
      <w:rFonts w:ascii="Arial" w:eastAsiaTheme="minorHAnsi" w:hAnsi="Arial" w:cs="Arial"/>
      <w:color w:val="000000" w:themeColor="text1"/>
      <w:szCs w:val="22"/>
      <w:lang w:val="en-US" w:eastAsia="en-US"/>
    </w:rPr>
  </w:style>
  <w:style w:type="character" w:customStyle="1" w:styleId="UnresolvedMention">
    <w:name w:val="Unresolved Mention"/>
    <w:basedOn w:val="Standaardalinea-lettertype"/>
    <w:uiPriority w:val="99"/>
    <w:semiHidden/>
    <w:unhideWhenUsed/>
    <w:rsid w:val="00522C64"/>
    <w:rPr>
      <w:color w:val="605E5C"/>
      <w:shd w:val="clear" w:color="auto" w:fill="E1DFDD"/>
    </w:rPr>
  </w:style>
  <w:style w:type="paragraph" w:customStyle="1" w:styleId="Dnex1">
    <w:name w:val="Dnex1"/>
    <w:basedOn w:val="Standaard"/>
    <w:qFormat/>
    <w:rsid w:val="0075517C"/>
    <w:pPr>
      <w:widowControl w:val="0"/>
      <w:pBdr>
        <w:top w:val="single" w:sz="4" w:space="1" w:color="auto"/>
        <w:left w:val="single" w:sz="4" w:space="4" w:color="auto"/>
        <w:bottom w:val="single" w:sz="4" w:space="1" w:color="auto"/>
        <w:right w:val="single" w:sz="4" w:space="4" w:color="auto"/>
      </w:pBdr>
      <w:tabs>
        <w:tab w:val="clear" w:pos="567"/>
      </w:tabs>
      <w:spacing w:line="240" w:lineRule="auto"/>
    </w:pPr>
    <w:rPr>
      <w:vanish/>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5247">
      <w:bodyDiv w:val="1"/>
      <w:marLeft w:val="0"/>
      <w:marRight w:val="0"/>
      <w:marTop w:val="0"/>
      <w:marBottom w:val="0"/>
      <w:divBdr>
        <w:top w:val="none" w:sz="0" w:space="0" w:color="auto"/>
        <w:left w:val="none" w:sz="0" w:space="0" w:color="auto"/>
        <w:bottom w:val="none" w:sz="0" w:space="0" w:color="auto"/>
        <w:right w:val="none" w:sz="0" w:space="0" w:color="auto"/>
      </w:divBdr>
    </w:div>
    <w:div w:id="74057993">
      <w:bodyDiv w:val="1"/>
      <w:marLeft w:val="0"/>
      <w:marRight w:val="0"/>
      <w:marTop w:val="0"/>
      <w:marBottom w:val="0"/>
      <w:divBdr>
        <w:top w:val="none" w:sz="0" w:space="0" w:color="auto"/>
        <w:left w:val="none" w:sz="0" w:space="0" w:color="auto"/>
        <w:bottom w:val="none" w:sz="0" w:space="0" w:color="auto"/>
        <w:right w:val="none" w:sz="0" w:space="0" w:color="auto"/>
      </w:divBdr>
    </w:div>
    <w:div w:id="542710789">
      <w:bodyDiv w:val="1"/>
      <w:marLeft w:val="0"/>
      <w:marRight w:val="0"/>
      <w:marTop w:val="0"/>
      <w:marBottom w:val="0"/>
      <w:divBdr>
        <w:top w:val="none" w:sz="0" w:space="0" w:color="auto"/>
        <w:left w:val="none" w:sz="0" w:space="0" w:color="auto"/>
        <w:bottom w:val="none" w:sz="0" w:space="0" w:color="auto"/>
        <w:right w:val="none" w:sz="0" w:space="0" w:color="auto"/>
      </w:divBdr>
    </w:div>
    <w:div w:id="641351195">
      <w:bodyDiv w:val="1"/>
      <w:marLeft w:val="0"/>
      <w:marRight w:val="0"/>
      <w:marTop w:val="0"/>
      <w:marBottom w:val="0"/>
      <w:divBdr>
        <w:top w:val="none" w:sz="0" w:space="0" w:color="auto"/>
        <w:left w:val="none" w:sz="0" w:space="0" w:color="auto"/>
        <w:bottom w:val="none" w:sz="0" w:space="0" w:color="auto"/>
        <w:right w:val="none" w:sz="0" w:space="0" w:color="auto"/>
      </w:divBdr>
    </w:div>
    <w:div w:id="818956597">
      <w:bodyDiv w:val="1"/>
      <w:marLeft w:val="0"/>
      <w:marRight w:val="0"/>
      <w:marTop w:val="0"/>
      <w:marBottom w:val="0"/>
      <w:divBdr>
        <w:top w:val="none" w:sz="0" w:space="0" w:color="auto"/>
        <w:left w:val="none" w:sz="0" w:space="0" w:color="auto"/>
        <w:bottom w:val="none" w:sz="0" w:space="0" w:color="auto"/>
        <w:right w:val="none" w:sz="0" w:space="0" w:color="auto"/>
      </w:divBdr>
    </w:div>
    <w:div w:id="1068068447">
      <w:bodyDiv w:val="1"/>
      <w:marLeft w:val="0"/>
      <w:marRight w:val="0"/>
      <w:marTop w:val="0"/>
      <w:marBottom w:val="0"/>
      <w:divBdr>
        <w:top w:val="none" w:sz="0" w:space="0" w:color="auto"/>
        <w:left w:val="none" w:sz="0" w:space="0" w:color="auto"/>
        <w:bottom w:val="none" w:sz="0" w:space="0" w:color="auto"/>
        <w:right w:val="none" w:sz="0" w:space="0" w:color="auto"/>
      </w:divBdr>
    </w:div>
    <w:div w:id="1197546791">
      <w:bodyDiv w:val="1"/>
      <w:marLeft w:val="0"/>
      <w:marRight w:val="0"/>
      <w:marTop w:val="0"/>
      <w:marBottom w:val="0"/>
      <w:divBdr>
        <w:top w:val="none" w:sz="0" w:space="0" w:color="auto"/>
        <w:left w:val="none" w:sz="0" w:space="0" w:color="auto"/>
        <w:bottom w:val="none" w:sz="0" w:space="0" w:color="auto"/>
        <w:right w:val="none" w:sz="0" w:space="0" w:color="auto"/>
      </w:divBdr>
    </w:div>
    <w:div w:id="1455949608">
      <w:bodyDiv w:val="1"/>
      <w:marLeft w:val="0"/>
      <w:marRight w:val="0"/>
      <w:marTop w:val="0"/>
      <w:marBottom w:val="0"/>
      <w:divBdr>
        <w:top w:val="none" w:sz="0" w:space="0" w:color="auto"/>
        <w:left w:val="none" w:sz="0" w:space="0" w:color="auto"/>
        <w:bottom w:val="none" w:sz="0" w:space="0" w:color="auto"/>
        <w:right w:val="none" w:sz="0" w:space="0" w:color="auto"/>
      </w:divBdr>
    </w:div>
    <w:div w:id="1471091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enbijwerkingmelden.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gg.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ma.europa.e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7a4d30-5101-493f-ab33-2ee9bb6b4fff">
      <Terms xmlns="http://schemas.microsoft.com/office/infopath/2007/PartnerControls"/>
    </lcf76f155ced4ddcb4097134ff3c332f>
    <TaxCatchAll xmlns="c56a36b4-67f0-4405-a4e3-75358dfcc6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4A90DE1B9FD043A854E63DD3FD858B" ma:contentTypeVersion="13" ma:contentTypeDescription="Create a new document." ma:contentTypeScope="" ma:versionID="8472822f78c3a09a45139cb39a1cd576">
  <xsd:schema xmlns:xsd="http://www.w3.org/2001/XMLSchema" xmlns:xs="http://www.w3.org/2001/XMLSchema" xmlns:p="http://schemas.microsoft.com/office/2006/metadata/properties" xmlns:ns2="5e7a4d30-5101-493f-ab33-2ee9bb6b4fff" xmlns:ns3="c56a36b4-67f0-4405-a4e3-75358dfcc6ae" targetNamespace="http://schemas.microsoft.com/office/2006/metadata/properties" ma:root="true" ma:fieldsID="faaa8b71068c6541d0b88201d6c6e387" ns2:_="" ns3:_="">
    <xsd:import namespace="5e7a4d30-5101-493f-ab33-2ee9bb6b4fff"/>
    <xsd:import namespace="c56a36b4-67f0-4405-a4e3-75358dfcc6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a4d30-5101-493f-ab33-2ee9bb6b4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adb9bf-65a7-4dcd-b9fe-2cabe70ed6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6a36b4-67f0-4405-a4e3-75358dfcc6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154092-f7d2-470c-a2a8-8205aa6293aa}" ma:internalName="TaxCatchAll" ma:showField="CatchAllData" ma:web="c56a36b4-67f0-4405-a4e3-75358dfcc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04A8C-F698-484A-A1E5-6196C1C20E78}">
  <ds:schemaRefs>
    <ds:schemaRef ds:uri="http://purl.org/dc/elements/1.1/"/>
    <ds:schemaRef ds:uri="http://schemas.microsoft.com/office/infopath/2007/PartnerControls"/>
    <ds:schemaRef ds:uri="http://schemas.microsoft.com/office/2006/documentManagement/types"/>
    <ds:schemaRef ds:uri="http://purl.org/dc/dcmitype/"/>
    <ds:schemaRef ds:uri="5e7a4d30-5101-493f-ab33-2ee9bb6b4fff"/>
    <ds:schemaRef ds:uri="http://purl.org/dc/terms/"/>
    <ds:schemaRef ds:uri="http://schemas.openxmlformats.org/package/2006/metadata/core-properties"/>
    <ds:schemaRef ds:uri="c56a36b4-67f0-4405-a4e3-75358dfcc6a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290B3AF-5BB2-44EC-9409-3B9BB1D6D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a4d30-5101-493f-ab33-2ee9bb6b4fff"/>
    <ds:schemaRef ds:uri="c56a36b4-67f0-4405-a4e3-75358dfcc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0F62B4-C207-4572-8717-3AD6F9BE5E30}">
  <ds:schemaRefs>
    <ds:schemaRef ds:uri="http://schemas.microsoft.com/sharepoint/v3/contenttype/forms"/>
  </ds:schemaRefs>
</ds:datastoreItem>
</file>

<file path=customXml/itemProps4.xml><?xml version="1.0" encoding="utf-8"?>
<ds:datastoreItem xmlns:ds="http://schemas.openxmlformats.org/officeDocument/2006/customXml" ds:itemID="{DD63FDBE-29B7-4392-A84C-287DA464A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5691</Words>
  <Characters>38493</Characters>
  <Application>Microsoft Office Word</Application>
  <DocSecurity>0</DocSecurity>
  <Lines>320</Lines>
  <Paragraphs>88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Jaypirca: EPAR – Product information – tracked changes</vt:lpstr>
      <vt:lpstr>Jaypirca: EPAR – Product information – tracked changes</vt:lpstr>
    </vt:vector>
  </TitlesOfParts>
  <Company/>
  <LinksUpToDate>false</LinksUpToDate>
  <CharactersWithSpaces>44096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Jaypirca: EPAR – Product information – tracked changes</dc:title>
  <dc:subject>EPAR</dc:subject>
  <dc:creator>CHMP</dc:creator>
  <cp:keywords>Jaypirca, INN-pirtobrutinib</cp:keywords>
  <dc:description/>
  <cp:lastModifiedBy>Vanessa Vernimmen</cp:lastModifiedBy>
  <cp:revision>2</cp:revision>
  <cp:lastPrinted>2022-03-19T20:26:00Z</cp:lastPrinted>
  <dcterms:created xsi:type="dcterms:W3CDTF">2025-07-08T12:18:00Z</dcterms:created>
  <dcterms:modified xsi:type="dcterms:W3CDTF">2025-07-08T12:18:00Z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lassification">
    <vt:lpwstr>Internal All EMA Staff and Contractors</vt:lpwstr>
  </property>
  <property fmtid="{D5CDD505-2E9C-101B-9397-08002B2CF9AE}" pid="4" name="ContentTypeId">
    <vt:lpwstr>0x010100B44A90DE1B9FD043A854E63DD3FD858B</vt:lpwstr>
  </property>
  <property fmtid="{D5CDD505-2E9C-101B-9397-08002B2CF9AE}" pid="5" name="DM_Author">
    <vt:lpwstr/>
  </property>
  <property fmtid="{D5CDD505-2E9C-101B-9397-08002B2CF9AE}" pid="6" name="DM_Authors">
    <vt:lpwstr/>
  </property>
  <property fmtid="{D5CDD505-2E9C-101B-9397-08002B2CF9AE}" pid="7" name="DM_Category">
    <vt:lpwstr>Templates and Form</vt:lpwstr>
  </property>
  <property fmtid="{D5CDD505-2E9C-101B-9397-08002B2CF9AE}" pid="8" name="DM_Creation_Date">
    <vt:lpwstr>15/01/2021 13:39:41</vt:lpwstr>
  </property>
  <property fmtid="{D5CDD505-2E9C-101B-9397-08002B2CF9AE}" pid="9" name="DM_Creator_Name">
    <vt:lpwstr>Akhtar Timea</vt:lpwstr>
  </property>
  <property fmtid="{D5CDD505-2E9C-101B-9397-08002B2CF9AE}" pid="10" name="DM_DocRefId">
    <vt:lpwstr>EMA/25988/2021</vt:lpwstr>
  </property>
  <property fmtid="{D5CDD505-2E9C-101B-9397-08002B2CF9AE}" pid="11" name="DM_Keywords">
    <vt:lpwstr/>
  </property>
  <property fmtid="{D5CDD505-2E9C-101B-9397-08002B2CF9AE}" pid="12" name="DM_Language">
    <vt:lpwstr/>
  </property>
  <property fmtid="{D5CDD505-2E9C-101B-9397-08002B2CF9AE}" pid="13" name="DM_Modifer_Name">
    <vt:lpwstr>Akhtar Timea</vt:lpwstr>
  </property>
  <property fmtid="{D5CDD505-2E9C-101B-9397-08002B2CF9AE}" pid="14" name="DM_Modified_Date">
    <vt:lpwstr>15/01/2021 13:39:41</vt:lpwstr>
  </property>
  <property fmtid="{D5CDD505-2E9C-101B-9397-08002B2CF9AE}" pid="15" name="DM_Modifier_Name">
    <vt:lpwstr>Akhtar Timea</vt:lpwstr>
  </property>
  <property fmtid="{D5CDD505-2E9C-101B-9397-08002B2CF9AE}" pid="16" name="DM_Modify_Date">
    <vt:lpwstr>15/01/2021 13:39:41</vt:lpwstr>
  </property>
  <property fmtid="{D5CDD505-2E9C-101B-9397-08002B2CF9AE}" pid="17" name="DM_Name">
    <vt:lpwstr>Hqrdtemplatecleanen v10.2 rev1</vt:lpwstr>
  </property>
  <property fmtid="{D5CDD505-2E9C-101B-9397-08002B2CF9AE}" pid="18" name="DM_Owner">
    <vt:lpwstr>Espinasse Claire</vt:lpwstr>
  </property>
  <property fmtid="{D5CDD505-2E9C-101B-9397-08002B2CF9AE}" pid="19" name="DM_Path">
    <vt:lpwstr>/02b. Administration of Scientific Meeting/WPs SAGs DGs and other WGs/CxMP - QRD/3. Other activities/02. Procedures/01. QRD PI templates/01 QRD Human Templates/08 H-qrd template v10.2 (Brexit)/Revision 1 - annex II amendment</vt:lpwstr>
  </property>
  <property fmtid="{D5CDD505-2E9C-101B-9397-08002B2CF9AE}" pid="20" name="DM_Status">
    <vt:lpwstr/>
  </property>
  <property fmtid="{D5CDD505-2E9C-101B-9397-08002B2CF9AE}" pid="21" name="DM_Subject">
    <vt:lpwstr/>
  </property>
  <property fmtid="{D5CDD505-2E9C-101B-9397-08002B2CF9AE}" pid="22" name="DM_Title">
    <vt:lpwstr/>
  </property>
  <property fmtid="{D5CDD505-2E9C-101B-9397-08002B2CF9AE}" pid="23" name="DM_Type">
    <vt:lpwstr>emea_document</vt:lpwstr>
  </property>
  <property fmtid="{D5CDD505-2E9C-101B-9397-08002B2CF9AE}" pid="24" name="DM_Version">
    <vt:lpwstr>1.1,CURRENT</vt:lpwstr>
  </property>
  <property fmtid="{D5CDD505-2E9C-101B-9397-08002B2CF9AE}" pid="25" name="DM_emea_bcc">
    <vt:lpwstr/>
  </property>
  <property fmtid="{D5CDD505-2E9C-101B-9397-08002B2CF9AE}" pid="26" name="DM_emea_cc">
    <vt:lpwstr/>
  </property>
  <property fmtid="{D5CDD505-2E9C-101B-9397-08002B2CF9AE}" pid="27" name="DM_emea_doc_category">
    <vt:lpwstr>General</vt:lpwstr>
  </property>
  <property fmtid="{D5CDD505-2E9C-101B-9397-08002B2CF9AE}" pid="28" name="DM_emea_doc_lang">
    <vt:lpwstr/>
  </property>
  <property fmtid="{D5CDD505-2E9C-101B-9397-08002B2CF9AE}" pid="29" name="DM_emea_doc_number">
    <vt:lpwstr>423415</vt:lpwstr>
  </property>
  <property fmtid="{D5CDD505-2E9C-101B-9397-08002B2CF9AE}" pid="30" name="DM_emea_doc_ref_id">
    <vt:lpwstr>EMA/25988/2021</vt:lpwstr>
  </property>
  <property fmtid="{D5CDD505-2E9C-101B-9397-08002B2CF9AE}" pid="31" name="DM_emea_from">
    <vt:lpwstr/>
  </property>
  <property fmtid="{D5CDD505-2E9C-101B-9397-08002B2CF9AE}" pid="32" name="DM_emea_internal_label">
    <vt:lpwstr>EMA</vt:lpwstr>
  </property>
  <property fmtid="{D5CDD505-2E9C-101B-9397-08002B2CF9AE}" pid="33" name="DM_emea_legal_date">
    <vt:lpwstr>nulldate</vt:lpwstr>
  </property>
  <property fmtid="{D5CDD505-2E9C-101B-9397-08002B2CF9AE}" pid="34" name="DM_emea_meeting_action">
    <vt:lpwstr/>
  </property>
  <property fmtid="{D5CDD505-2E9C-101B-9397-08002B2CF9AE}" pid="35" name="DM_emea_meeting_flags">
    <vt:lpwstr/>
  </property>
  <property fmtid="{D5CDD505-2E9C-101B-9397-08002B2CF9AE}" pid="36" name="DM_emea_meeting_hyperlink">
    <vt:lpwstr/>
  </property>
  <property fmtid="{D5CDD505-2E9C-101B-9397-08002B2CF9AE}" pid="37" name="DM_emea_meeting_ref">
    <vt:lpwstr/>
  </property>
  <property fmtid="{D5CDD505-2E9C-101B-9397-08002B2CF9AE}" pid="38" name="DM_emea_meeting_status">
    <vt:lpwstr/>
  </property>
  <property fmtid="{D5CDD505-2E9C-101B-9397-08002B2CF9AE}" pid="39" name="DM_emea_meeting_title">
    <vt:lpwstr/>
  </property>
  <property fmtid="{D5CDD505-2E9C-101B-9397-08002B2CF9AE}" pid="40" name="DM_emea_message_subject">
    <vt:lpwstr/>
  </property>
  <property fmtid="{D5CDD505-2E9C-101B-9397-08002B2CF9AE}" pid="41" name="DM_emea_received_date">
    <vt:lpwstr>nulldate</vt:lpwstr>
  </property>
  <property fmtid="{D5CDD505-2E9C-101B-9397-08002B2CF9AE}" pid="42" name="DM_emea_resp_body">
    <vt:lpwstr/>
  </property>
  <property fmtid="{D5CDD505-2E9C-101B-9397-08002B2CF9AE}" pid="43" name="DM_emea_revision_label">
    <vt:lpwstr/>
  </property>
  <property fmtid="{D5CDD505-2E9C-101B-9397-08002B2CF9AE}" pid="44" name="DM_emea_sent_date">
    <vt:lpwstr>nulldate</vt:lpwstr>
  </property>
  <property fmtid="{D5CDD505-2E9C-101B-9397-08002B2CF9AE}" pid="45" name="DM_emea_to">
    <vt:lpwstr/>
  </property>
  <property fmtid="{D5CDD505-2E9C-101B-9397-08002B2CF9AE}" pid="46" name="DM_emea_year">
    <vt:lpwstr>2010</vt:lpwstr>
  </property>
  <property fmtid="{D5CDD505-2E9C-101B-9397-08002B2CF9AE}" pid="47" name="DocSecurity">
    <vt:i4>0</vt:i4>
  </property>
  <property fmtid="{D5CDD505-2E9C-101B-9397-08002B2CF9AE}" pid="48" name="HyperlinksChanged">
    <vt:bool>false</vt:bool>
  </property>
  <property fmtid="{D5CDD505-2E9C-101B-9397-08002B2CF9AE}" pid="49" name="LinksUpToDate">
    <vt:bool>false</vt:bool>
  </property>
  <property fmtid="{D5CDD505-2E9C-101B-9397-08002B2CF9AE}" pid="50" name="MSIP_Label_0eea11ca-d417-4147-80ed-01a58412c458_ActionId">
    <vt:lpwstr>d2b37d8f-3dd6-4de5-ba27-5b9c45178579</vt:lpwstr>
  </property>
  <property fmtid="{D5CDD505-2E9C-101B-9397-08002B2CF9AE}" pid="51" name="MSIP_Label_0eea11ca-d417-4147-80ed-01a58412c458_Application">
    <vt:lpwstr>Microsoft Azure Information Protection</vt:lpwstr>
  </property>
  <property fmtid="{D5CDD505-2E9C-101B-9397-08002B2CF9AE}" pid="52" name="MSIP_Label_0eea11ca-d417-4147-80ed-01a58412c458_Enabled">
    <vt:lpwstr>True</vt:lpwstr>
  </property>
  <property fmtid="{D5CDD505-2E9C-101B-9397-08002B2CF9AE}" pid="53" name="MSIP_Label_0eea11ca-d417-4147-80ed-01a58412c458_Extended_MSFT_Method">
    <vt:lpwstr>Automatic</vt:lpwstr>
  </property>
  <property fmtid="{D5CDD505-2E9C-101B-9397-08002B2CF9AE}" pid="54" name="MSIP_Label_0eea11ca-d417-4147-80ed-01a58412c458_Name">
    <vt:lpwstr>All EMA Staff and Contractors</vt:lpwstr>
  </property>
  <property fmtid="{D5CDD505-2E9C-101B-9397-08002B2CF9AE}" pid="55" name="MSIP_Label_0eea11ca-d417-4147-80ed-01a58412c458_Owner">
    <vt:lpwstr>monica.buch@ema.europa.eu</vt:lpwstr>
  </property>
  <property fmtid="{D5CDD505-2E9C-101B-9397-08002B2CF9AE}" pid="56" name="MSIP_Label_0eea11ca-d417-4147-80ed-01a58412c458_Parent">
    <vt:lpwstr>afe1b31d-cec0-4074-b4bd-f07689e43d84</vt:lpwstr>
  </property>
  <property fmtid="{D5CDD505-2E9C-101B-9397-08002B2CF9AE}" pid="57" name="MSIP_Label_0eea11ca-d417-4147-80ed-01a58412c458_SetDate">
    <vt:lpwstr>2020-11-26T12:55:39.3103256Z</vt:lpwstr>
  </property>
  <property fmtid="{D5CDD505-2E9C-101B-9397-08002B2CF9AE}" pid="58" name="MSIP_Label_0eea11ca-d417-4147-80ed-01a58412c458_SiteId">
    <vt:lpwstr>bc9dc15c-61bc-4f03-b60b-e5b6d8922839</vt:lpwstr>
  </property>
  <property fmtid="{D5CDD505-2E9C-101B-9397-08002B2CF9AE}" pid="59" name="MSIP_Label_afe1b31d-cec0-4074-b4bd-f07689e43d84_ActionId">
    <vt:lpwstr>d2b37d8f-3dd6-4de5-ba27-5b9c45178579</vt:lpwstr>
  </property>
  <property fmtid="{D5CDD505-2E9C-101B-9397-08002B2CF9AE}" pid="60" name="MSIP_Label_afe1b31d-cec0-4074-b4bd-f07689e43d84_Application">
    <vt:lpwstr>Microsoft Azure Information Protection</vt:lpwstr>
  </property>
  <property fmtid="{D5CDD505-2E9C-101B-9397-08002B2CF9AE}" pid="61" name="MSIP_Label_afe1b31d-cec0-4074-b4bd-f07689e43d84_Enabled">
    <vt:lpwstr>True</vt:lpwstr>
  </property>
  <property fmtid="{D5CDD505-2E9C-101B-9397-08002B2CF9AE}" pid="62" name="MSIP_Label_afe1b31d-cec0-4074-b4bd-f07689e43d84_Extended_MSFT_Method">
    <vt:lpwstr>Automatic</vt:lpwstr>
  </property>
  <property fmtid="{D5CDD505-2E9C-101B-9397-08002B2CF9AE}" pid="63" name="MSIP_Label_afe1b31d-cec0-4074-b4bd-f07689e43d84_Name">
    <vt:lpwstr>Internal</vt:lpwstr>
  </property>
  <property fmtid="{D5CDD505-2E9C-101B-9397-08002B2CF9AE}" pid="64" name="MSIP_Label_afe1b31d-cec0-4074-b4bd-f07689e43d84_Owner">
    <vt:lpwstr>monica.buch@ema.europa.eu</vt:lpwstr>
  </property>
  <property fmtid="{D5CDD505-2E9C-101B-9397-08002B2CF9AE}" pid="65" name="MSIP_Label_afe1b31d-cec0-4074-b4bd-f07689e43d84_SetDate">
    <vt:lpwstr>2020-11-26T12:55:39.3103256Z</vt:lpwstr>
  </property>
  <property fmtid="{D5CDD505-2E9C-101B-9397-08002B2CF9AE}" pid="66" name="MSIP_Label_afe1b31d-cec0-4074-b4bd-f07689e43d84_SiteId">
    <vt:lpwstr>bc9dc15c-61bc-4f03-b60b-e5b6d8922839</vt:lpwstr>
  </property>
  <property fmtid="{D5CDD505-2E9C-101B-9397-08002B2CF9AE}" pid="67" name="ScaleCrop">
    <vt:bool>false</vt:bool>
  </property>
  <property fmtid="{D5CDD505-2E9C-101B-9397-08002B2CF9AE}" pid="68" name="ShareDoc">
    <vt:bool>false</vt:bool>
  </property>
  <property fmtid="{D5CDD505-2E9C-101B-9397-08002B2CF9AE}" pid="69" name="_CopySource">
    <vt:lpwstr/>
  </property>
  <property fmtid="{D5CDD505-2E9C-101B-9397-08002B2CF9AE}" pid="70" name="MediaServiceImageTags">
    <vt:lpwstr/>
  </property>
</Properties>
</file>