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979BF" w14:textId="4074ABFE" w:rsidR="00812D16" w:rsidRPr="000324A9" w:rsidRDefault="006D04F6" w:rsidP="00064D5D">
      <w:pPr>
        <w:pStyle w:val="TitleA"/>
      </w:pPr>
      <w:bookmarkStart w:id="0" w:name="_GoBack"/>
      <w:bookmarkEnd w:id="0"/>
      <w:r w:rsidRPr="00B74A3B">
        <w:t>RÉSUMÉ DES CARACTÉRISTIQUES DU PRODUIT</w:t>
      </w:r>
      <w:r w:rsidRPr="00AD464F">
        <w:rPr>
          <w:highlight w:val="yellow"/>
        </w:rPr>
        <w:t xml:space="preserve"> </w:t>
      </w:r>
      <w:r w:rsidR="00617FEB" w:rsidRPr="00AD464F">
        <w:rPr>
          <w:highlight w:val="yellow"/>
        </w:rPr>
        <w:fldChar w:fldCharType="begin"/>
      </w:r>
      <w:r w:rsidR="00617FEB" w:rsidRPr="000324A9">
        <w:rPr>
          <w:highlight w:val="yellow"/>
        </w:rPr>
        <w:instrText xml:space="preserve"> DOCVARIABLE VAULT_ND_534721eb-9fb9-4656-928d-d141190c4cb5 \* MERGEFORMAT </w:instrText>
      </w:r>
      <w:r w:rsidR="00617FEB" w:rsidRPr="00AD464F">
        <w:rPr>
          <w:highlight w:val="yellow"/>
        </w:rPr>
        <w:fldChar w:fldCharType="separate"/>
      </w:r>
      <w:r w:rsidR="00AD464F" w:rsidRPr="000324A9">
        <w:rPr>
          <w:highlight w:val="yellow"/>
        </w:rPr>
        <w:t xml:space="preserve"> </w:t>
      </w:r>
      <w:r w:rsidR="00617FEB" w:rsidRPr="00AD464F">
        <w:rPr>
          <w:highlight w:val="yellow"/>
        </w:rPr>
        <w:fldChar w:fldCharType="end"/>
      </w:r>
    </w:p>
    <w:p w14:paraId="2FD0751F" w14:textId="6EDF4DDA" w:rsidR="00033D26" w:rsidRPr="00DA5AAE" w:rsidRDefault="00617FEB" w:rsidP="00204AAB">
      <w:pPr>
        <w:spacing w:line="240" w:lineRule="auto"/>
        <w:rPr>
          <w:szCs w:val="22"/>
          <w:highlight w:val="yellow"/>
        </w:rPr>
      </w:pPr>
      <w:r w:rsidRPr="00AD464F">
        <w:rPr>
          <w:noProof/>
          <w:lang w:val="en-GB" w:eastAsia="en-GB"/>
        </w:rPr>
        <w:drawing>
          <wp:inline distT="0" distB="0" distL="0" distR="0" wp14:anchorId="1737BFF6" wp14:editId="44AA6988">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00DA5AAE" w:rsidRPr="00DA5AAE">
        <w:rPr>
          <w:lang w:eastAsia="fr-FR" w:bidi="fr-FR"/>
        </w:rPr>
        <w:t xml:space="preserve"> </w:t>
      </w:r>
      <w:r w:rsidR="00DA5AAE" w:rsidRPr="00B74A3B">
        <w:rPr>
          <w:lang w:eastAsia="fr-FR" w:bidi="fr-FR"/>
        </w:rPr>
        <w:t>Ce médicament fait l’objet d’une surveillance supplémentaire qui permettra l’identification rapide de nouvelles informations relatives à la sécurité. Les professionnels de la santé déclarent tout effet indésirable suspecté. Voir rubrique 4.8 pour les modalités de déclaration des effets indésirables.</w:t>
      </w:r>
    </w:p>
    <w:p w14:paraId="6B29ECD8" w14:textId="77777777" w:rsidR="00033D26" w:rsidRPr="00DA5AAE" w:rsidRDefault="00033D26" w:rsidP="00204AAB">
      <w:pPr>
        <w:spacing w:line="240" w:lineRule="auto"/>
        <w:rPr>
          <w:szCs w:val="22"/>
          <w:highlight w:val="yellow"/>
        </w:rPr>
      </w:pPr>
    </w:p>
    <w:p w14:paraId="426FF85B" w14:textId="77777777" w:rsidR="00033D26" w:rsidRPr="00DA5AAE" w:rsidRDefault="00033D26" w:rsidP="00204AAB">
      <w:pPr>
        <w:spacing w:line="240" w:lineRule="auto"/>
        <w:rPr>
          <w:szCs w:val="22"/>
          <w:highlight w:val="yellow"/>
        </w:rPr>
      </w:pPr>
    </w:p>
    <w:p w14:paraId="3BE7E7DE" w14:textId="5D19455F" w:rsidR="00812D16" w:rsidRPr="004251EF" w:rsidRDefault="00617FEB" w:rsidP="004251EF">
      <w:pPr>
        <w:suppressAutoHyphens/>
        <w:spacing w:line="240" w:lineRule="auto"/>
        <w:ind w:left="567" w:hanging="567"/>
        <w:rPr>
          <w:iCs/>
          <w:noProof/>
          <w:szCs w:val="22"/>
        </w:rPr>
      </w:pPr>
      <w:r w:rsidRPr="004251EF">
        <w:rPr>
          <w:b/>
        </w:rPr>
        <w:t>1.</w:t>
      </w:r>
      <w:r w:rsidRPr="004251EF">
        <w:rPr>
          <w:b/>
        </w:rPr>
        <w:tab/>
      </w:r>
      <w:r w:rsidR="004251EF" w:rsidRPr="004251EF">
        <w:rPr>
          <w:b/>
        </w:rPr>
        <w:t>DÉNOMINATION DU MÉDICAMENT</w:t>
      </w:r>
    </w:p>
    <w:p w14:paraId="15966ED5" w14:textId="77777777" w:rsidR="004251EF" w:rsidRDefault="004251EF" w:rsidP="00196822">
      <w:pPr>
        <w:spacing w:line="240" w:lineRule="auto"/>
        <w:rPr>
          <w:highlight w:val="yellow"/>
        </w:rPr>
      </w:pPr>
    </w:p>
    <w:p w14:paraId="088F94D2" w14:textId="1C26BFBD" w:rsidR="00196822" w:rsidRPr="004251EF" w:rsidRDefault="00417879" w:rsidP="00196822">
      <w:pPr>
        <w:spacing w:line="240" w:lineRule="auto"/>
        <w:rPr>
          <w:noProof/>
          <w:szCs w:val="22"/>
        </w:rPr>
      </w:pPr>
      <w:r w:rsidRPr="004251EF">
        <w:t xml:space="preserve">Jaypirca 50 mg </w:t>
      </w:r>
      <w:r w:rsidR="004251EF" w:rsidRPr="004251EF">
        <w:t>comprimés pelliculés</w:t>
      </w:r>
    </w:p>
    <w:p w14:paraId="6BA04A52" w14:textId="7CA9E0EC" w:rsidR="00812D16" w:rsidRPr="004251EF" w:rsidRDefault="00417879" w:rsidP="00196822">
      <w:pPr>
        <w:spacing w:line="240" w:lineRule="auto"/>
        <w:rPr>
          <w:noProof/>
          <w:szCs w:val="22"/>
        </w:rPr>
      </w:pPr>
      <w:r w:rsidRPr="004251EF">
        <w:t xml:space="preserve">Jaypirca 100 mg </w:t>
      </w:r>
      <w:r w:rsidR="004251EF" w:rsidRPr="004251EF">
        <w:t>comprimés pelliculés</w:t>
      </w:r>
    </w:p>
    <w:p w14:paraId="211A20B9" w14:textId="77777777" w:rsidR="00CD3633" w:rsidRPr="004251EF" w:rsidRDefault="00CD3633" w:rsidP="00196822">
      <w:pPr>
        <w:spacing w:line="240" w:lineRule="auto"/>
        <w:rPr>
          <w:iCs/>
          <w:noProof/>
          <w:szCs w:val="22"/>
          <w:highlight w:val="yellow"/>
        </w:rPr>
      </w:pPr>
    </w:p>
    <w:p w14:paraId="7F501A74" w14:textId="77777777" w:rsidR="00812D16" w:rsidRPr="004251EF" w:rsidRDefault="00812D16" w:rsidP="00204AAB">
      <w:pPr>
        <w:spacing w:line="240" w:lineRule="auto"/>
        <w:rPr>
          <w:iCs/>
          <w:noProof/>
          <w:szCs w:val="22"/>
          <w:highlight w:val="yellow"/>
        </w:rPr>
      </w:pPr>
    </w:p>
    <w:p w14:paraId="2F646EAF" w14:textId="3AA938EE" w:rsidR="00C27274" w:rsidRPr="00B74A3B" w:rsidRDefault="00C27274" w:rsidP="00C27274">
      <w:pPr>
        <w:keepNext/>
        <w:spacing w:line="240" w:lineRule="auto"/>
        <w:ind w:left="567" w:hanging="567"/>
        <w:outlineLvl w:val="0"/>
        <w:rPr>
          <w:noProof/>
        </w:rPr>
      </w:pPr>
      <w:r w:rsidRPr="00B74A3B">
        <w:rPr>
          <w:b/>
        </w:rPr>
        <w:t>2.</w:t>
      </w:r>
      <w:r w:rsidRPr="00B74A3B">
        <w:rPr>
          <w:b/>
        </w:rPr>
        <w:tab/>
        <w:t>COMPOSITION QUALITATIVE ET QUANTITATIVE</w:t>
      </w:r>
      <w:r w:rsidR="00D944F9">
        <w:rPr>
          <w:b/>
        </w:rPr>
        <w:fldChar w:fldCharType="begin"/>
      </w:r>
      <w:r w:rsidR="00D944F9">
        <w:rPr>
          <w:b/>
        </w:rPr>
        <w:instrText xml:space="preserve"> DOCVARIABLE VAULT_ND_0954618a-181d-433d-9202-41961be84d34 \* MERGEFORMAT </w:instrText>
      </w:r>
      <w:r w:rsidR="00D944F9">
        <w:rPr>
          <w:b/>
        </w:rPr>
        <w:fldChar w:fldCharType="separate"/>
      </w:r>
      <w:r w:rsidR="00D944F9">
        <w:rPr>
          <w:b/>
        </w:rPr>
        <w:t xml:space="preserve"> </w:t>
      </w:r>
      <w:r w:rsidR="00D944F9">
        <w:rPr>
          <w:b/>
        </w:rPr>
        <w:fldChar w:fldCharType="end"/>
      </w:r>
    </w:p>
    <w:p w14:paraId="7869B2D5" w14:textId="77777777" w:rsidR="00812D16" w:rsidRPr="00C27274" w:rsidRDefault="00812D16" w:rsidP="00204AAB">
      <w:pPr>
        <w:spacing w:line="240" w:lineRule="auto"/>
        <w:rPr>
          <w:iCs/>
          <w:noProof/>
          <w:szCs w:val="22"/>
          <w:highlight w:val="yellow"/>
        </w:rPr>
      </w:pPr>
    </w:p>
    <w:p w14:paraId="6412D1A0" w14:textId="77243656" w:rsidR="00CD3633" w:rsidRPr="00C27274" w:rsidRDefault="00417879" w:rsidP="00CD3633">
      <w:pPr>
        <w:spacing w:line="240" w:lineRule="auto"/>
      </w:pPr>
      <w:r w:rsidRPr="00C27274">
        <w:rPr>
          <w:u w:val="single"/>
        </w:rPr>
        <w:t xml:space="preserve">Jaypirca 50 mg </w:t>
      </w:r>
      <w:r w:rsidR="00C27274" w:rsidRPr="00C27274">
        <w:rPr>
          <w:u w:val="single"/>
        </w:rPr>
        <w:t>comprimés pelliculés</w:t>
      </w:r>
    </w:p>
    <w:p w14:paraId="5A973774" w14:textId="77777777" w:rsidR="00CD3633" w:rsidRPr="00C27274" w:rsidRDefault="00CD3633" w:rsidP="00CD3633">
      <w:pPr>
        <w:spacing w:line="240" w:lineRule="auto"/>
        <w:rPr>
          <w:highlight w:val="yellow"/>
        </w:rPr>
      </w:pPr>
    </w:p>
    <w:p w14:paraId="4100E169" w14:textId="5DADA3CA" w:rsidR="00CD3633" w:rsidRPr="0003779F" w:rsidRDefault="00C27274" w:rsidP="00CD3633">
      <w:pPr>
        <w:spacing w:line="240" w:lineRule="auto"/>
      </w:pPr>
      <w:r w:rsidRPr="0003779F">
        <w:t>Chaque comprimé pelliculé contient</w:t>
      </w:r>
      <w:r w:rsidR="00CD3633" w:rsidRPr="0003779F">
        <w:t xml:space="preserve"> 50 mg </w:t>
      </w:r>
      <w:r w:rsidRPr="0003779F">
        <w:t>de</w:t>
      </w:r>
      <w:r w:rsidR="00CD3633" w:rsidRPr="0003779F">
        <w:t xml:space="preserve"> pirtobrutinib.</w:t>
      </w:r>
    </w:p>
    <w:p w14:paraId="3F3F4D1D" w14:textId="7A7E332A" w:rsidR="00CD3633" w:rsidRPr="00C27274" w:rsidRDefault="00CD3633" w:rsidP="00CD3633">
      <w:pPr>
        <w:spacing w:line="240" w:lineRule="auto"/>
        <w:rPr>
          <w:highlight w:val="yellow"/>
        </w:rPr>
      </w:pPr>
    </w:p>
    <w:p w14:paraId="663F47AC" w14:textId="77777777" w:rsidR="0003779F" w:rsidRPr="007606B8" w:rsidRDefault="0003779F" w:rsidP="0003779F">
      <w:pPr>
        <w:autoSpaceDE w:val="0"/>
        <w:autoSpaceDN w:val="0"/>
        <w:adjustRightInd w:val="0"/>
        <w:spacing w:line="240" w:lineRule="auto"/>
        <w:rPr>
          <w:rFonts w:eastAsia="SimSun"/>
          <w:i/>
          <w:iCs/>
        </w:rPr>
      </w:pPr>
      <w:r w:rsidRPr="007606B8">
        <w:rPr>
          <w:i/>
          <w:iCs/>
        </w:rPr>
        <w:t>Excipients à effet notoire</w:t>
      </w:r>
    </w:p>
    <w:p w14:paraId="78C4B16C" w14:textId="59B8DE47" w:rsidR="00CD3633" w:rsidRPr="00216892" w:rsidRDefault="00216892" w:rsidP="00CD3633">
      <w:pPr>
        <w:spacing w:line="240" w:lineRule="auto"/>
        <w:rPr>
          <w:highlight w:val="yellow"/>
        </w:rPr>
      </w:pPr>
      <w:r w:rsidRPr="00B74A3B">
        <w:t xml:space="preserve">Chaque comprimé pelliculé contient </w:t>
      </w:r>
      <w:r w:rsidR="00CD3633" w:rsidRPr="00216892">
        <w:t xml:space="preserve">38 mg </w:t>
      </w:r>
      <w:r w:rsidRPr="00216892">
        <w:t>de</w:t>
      </w:r>
      <w:r w:rsidR="00CD3633" w:rsidRPr="00216892">
        <w:t xml:space="preserve"> </w:t>
      </w:r>
      <w:r w:rsidR="00CD3633" w:rsidRPr="00E755D2">
        <w:t>lactose (</w:t>
      </w:r>
      <w:r w:rsidR="00E755D2" w:rsidRPr="00E755D2">
        <w:t>sous forme de monohydrate</w:t>
      </w:r>
      <w:r w:rsidR="00CD3633" w:rsidRPr="00E755D2">
        <w:t>).</w:t>
      </w:r>
    </w:p>
    <w:p w14:paraId="6240A142" w14:textId="77777777" w:rsidR="00CD3633" w:rsidRPr="00216892" w:rsidRDefault="00CD3633" w:rsidP="00CD3633">
      <w:pPr>
        <w:spacing w:line="240" w:lineRule="auto"/>
        <w:rPr>
          <w:highlight w:val="yellow"/>
        </w:rPr>
      </w:pPr>
    </w:p>
    <w:p w14:paraId="2D00A6E7" w14:textId="224432AB" w:rsidR="00EB4CA9" w:rsidRPr="00C27274" w:rsidRDefault="00EB4CA9" w:rsidP="00EB4CA9">
      <w:pPr>
        <w:spacing w:line="240" w:lineRule="auto"/>
      </w:pPr>
      <w:r w:rsidRPr="00C27274">
        <w:rPr>
          <w:u w:val="single"/>
        </w:rPr>
        <w:t xml:space="preserve">Jaypirca </w:t>
      </w:r>
      <w:r>
        <w:rPr>
          <w:u w:val="single"/>
        </w:rPr>
        <w:t>10</w:t>
      </w:r>
      <w:r w:rsidRPr="00C27274">
        <w:rPr>
          <w:u w:val="single"/>
        </w:rPr>
        <w:t>0 mg comprimés pelliculés</w:t>
      </w:r>
    </w:p>
    <w:p w14:paraId="7C43E714" w14:textId="77777777" w:rsidR="00CD3633" w:rsidRPr="00EB4CA9" w:rsidRDefault="00CD3633" w:rsidP="00CD3633">
      <w:pPr>
        <w:spacing w:line="240" w:lineRule="auto"/>
        <w:rPr>
          <w:highlight w:val="yellow"/>
        </w:rPr>
      </w:pPr>
    </w:p>
    <w:p w14:paraId="4DC20A51" w14:textId="5512DB34" w:rsidR="00EB4CA9" w:rsidRPr="0003779F" w:rsidRDefault="00EB4CA9" w:rsidP="00EB4CA9">
      <w:pPr>
        <w:spacing w:line="240" w:lineRule="auto"/>
      </w:pPr>
      <w:r w:rsidRPr="0003779F">
        <w:t xml:space="preserve">Chaque comprimé pelliculé contient </w:t>
      </w:r>
      <w:r>
        <w:t>10</w:t>
      </w:r>
      <w:r w:rsidRPr="0003779F">
        <w:t>0 mg de pirtobrutinib.</w:t>
      </w:r>
    </w:p>
    <w:p w14:paraId="5C280964" w14:textId="77777777" w:rsidR="00CD3633" w:rsidRPr="00EB4CA9" w:rsidRDefault="00CD3633" w:rsidP="00CD3633">
      <w:pPr>
        <w:spacing w:line="240" w:lineRule="auto"/>
        <w:rPr>
          <w:highlight w:val="yellow"/>
        </w:rPr>
      </w:pPr>
    </w:p>
    <w:p w14:paraId="1AC4B4C6" w14:textId="77777777" w:rsidR="00EB4CA9" w:rsidRPr="00EB4CA9" w:rsidRDefault="00EB4CA9" w:rsidP="00EB4CA9">
      <w:pPr>
        <w:autoSpaceDE w:val="0"/>
        <w:autoSpaceDN w:val="0"/>
        <w:adjustRightInd w:val="0"/>
        <w:spacing w:line="240" w:lineRule="auto"/>
        <w:rPr>
          <w:rFonts w:eastAsia="SimSun"/>
          <w:i/>
          <w:iCs/>
        </w:rPr>
      </w:pPr>
      <w:r w:rsidRPr="00EB4CA9">
        <w:rPr>
          <w:i/>
          <w:iCs/>
        </w:rPr>
        <w:t>Excipients à effet notoire</w:t>
      </w:r>
    </w:p>
    <w:p w14:paraId="0757D34B" w14:textId="0B0ED983" w:rsidR="00EB4CA9" w:rsidRPr="00216892" w:rsidRDefault="00EB4CA9" w:rsidP="00EB4CA9">
      <w:pPr>
        <w:spacing w:line="240" w:lineRule="auto"/>
        <w:rPr>
          <w:highlight w:val="yellow"/>
        </w:rPr>
      </w:pPr>
      <w:r w:rsidRPr="00B74A3B">
        <w:t xml:space="preserve">Chaque comprimé pelliculé contient </w:t>
      </w:r>
      <w:r>
        <w:t>77</w:t>
      </w:r>
      <w:r w:rsidRPr="00216892">
        <w:t xml:space="preserve"> mg de </w:t>
      </w:r>
      <w:r w:rsidRPr="00E755D2">
        <w:t>lactose (</w:t>
      </w:r>
      <w:r w:rsidR="00E755D2" w:rsidRPr="00E755D2">
        <w:t>sous forme de</w:t>
      </w:r>
      <w:r w:rsidRPr="00E755D2">
        <w:t xml:space="preserve"> monohydrate).</w:t>
      </w:r>
    </w:p>
    <w:p w14:paraId="27230A43" w14:textId="77777777" w:rsidR="00CD3633" w:rsidRPr="00EB4CA9" w:rsidRDefault="00CD3633" w:rsidP="00204AAB">
      <w:pPr>
        <w:pStyle w:val="EMEAEnBodyText"/>
        <w:autoSpaceDE w:val="0"/>
        <w:autoSpaceDN w:val="0"/>
        <w:adjustRightInd w:val="0"/>
        <w:spacing w:before="0" w:after="0"/>
        <w:jc w:val="left"/>
        <w:rPr>
          <w:highlight w:val="yellow"/>
        </w:rPr>
      </w:pPr>
    </w:p>
    <w:p w14:paraId="0993A1AB" w14:textId="77777777" w:rsidR="00CD455A" w:rsidRPr="00B74A3B" w:rsidRDefault="00CD455A" w:rsidP="00CD455A">
      <w:pPr>
        <w:autoSpaceDE w:val="0"/>
        <w:autoSpaceDN w:val="0"/>
        <w:adjustRightInd w:val="0"/>
        <w:spacing w:line="240" w:lineRule="auto"/>
        <w:rPr>
          <w:noProof/>
        </w:rPr>
      </w:pPr>
      <w:r w:rsidRPr="00B74A3B">
        <w:t>Pour la liste complète des excipients, voir rubrique 6.1.</w:t>
      </w:r>
    </w:p>
    <w:p w14:paraId="7F504B2C" w14:textId="77777777" w:rsidR="00812D16" w:rsidRPr="00CD455A" w:rsidRDefault="00812D16" w:rsidP="00204AAB">
      <w:pPr>
        <w:spacing w:line="240" w:lineRule="auto"/>
        <w:rPr>
          <w:noProof/>
          <w:szCs w:val="22"/>
          <w:highlight w:val="yellow"/>
        </w:rPr>
      </w:pPr>
    </w:p>
    <w:p w14:paraId="4660C6DA" w14:textId="77777777" w:rsidR="00812D16" w:rsidRPr="00CD455A" w:rsidRDefault="00812D16" w:rsidP="00204AAB">
      <w:pPr>
        <w:spacing w:line="240" w:lineRule="auto"/>
        <w:rPr>
          <w:noProof/>
          <w:szCs w:val="22"/>
          <w:highlight w:val="yellow"/>
        </w:rPr>
      </w:pPr>
    </w:p>
    <w:p w14:paraId="2B98A545" w14:textId="06E56BBB" w:rsidR="00812D16" w:rsidRDefault="00C928F4" w:rsidP="00095058">
      <w:pPr>
        <w:keepNext/>
        <w:spacing w:line="240" w:lineRule="auto"/>
        <w:rPr>
          <w:b/>
        </w:rPr>
      </w:pPr>
      <w:r w:rsidRPr="00B74A3B">
        <w:rPr>
          <w:b/>
        </w:rPr>
        <w:t>3.</w:t>
      </w:r>
      <w:r w:rsidRPr="00B74A3B">
        <w:rPr>
          <w:b/>
        </w:rPr>
        <w:tab/>
        <w:t>FORME PHARMACEUTIQUE</w:t>
      </w:r>
    </w:p>
    <w:p w14:paraId="2A628DFF" w14:textId="77777777" w:rsidR="00C928F4" w:rsidRPr="007606B8" w:rsidRDefault="00C928F4" w:rsidP="00095058">
      <w:pPr>
        <w:keepNext/>
        <w:spacing w:line="240" w:lineRule="auto"/>
        <w:rPr>
          <w:noProof/>
          <w:szCs w:val="22"/>
          <w:highlight w:val="yellow"/>
        </w:rPr>
      </w:pPr>
    </w:p>
    <w:p w14:paraId="1E0C911E" w14:textId="6ECB23CC" w:rsidR="00F2146C" w:rsidRPr="00B74A3B" w:rsidRDefault="00F2146C" w:rsidP="00F2146C">
      <w:pPr>
        <w:spacing w:line="240" w:lineRule="auto"/>
        <w:rPr>
          <w:noProof/>
        </w:rPr>
      </w:pPr>
      <w:r w:rsidRPr="00B74A3B">
        <w:t>Comprimé pelliculé (comprimé)</w:t>
      </w:r>
      <w:r w:rsidR="00F34DF0">
        <w:t>.</w:t>
      </w:r>
    </w:p>
    <w:p w14:paraId="5845CB76" w14:textId="77777777" w:rsidR="0080780C" w:rsidRPr="00F2146C" w:rsidRDefault="0080780C" w:rsidP="0080780C">
      <w:pPr>
        <w:spacing w:line="240" w:lineRule="auto"/>
        <w:rPr>
          <w:noProof/>
          <w:szCs w:val="22"/>
          <w:highlight w:val="yellow"/>
        </w:rPr>
      </w:pPr>
    </w:p>
    <w:p w14:paraId="1C8EA739" w14:textId="77777777" w:rsidR="00F2146C" w:rsidRPr="00C27274" w:rsidRDefault="00F2146C" w:rsidP="00F2146C">
      <w:pPr>
        <w:spacing w:line="240" w:lineRule="auto"/>
      </w:pPr>
      <w:r w:rsidRPr="00C27274">
        <w:rPr>
          <w:u w:val="single"/>
        </w:rPr>
        <w:t>Jaypirca 50 mg comprimés pelliculés</w:t>
      </w:r>
    </w:p>
    <w:p w14:paraId="4EA7C978" w14:textId="77777777" w:rsidR="0080780C" w:rsidRPr="00AD464F" w:rsidRDefault="0080780C" w:rsidP="00095058">
      <w:pPr>
        <w:keepNext/>
        <w:spacing w:line="240" w:lineRule="auto"/>
        <w:rPr>
          <w:noProof/>
          <w:szCs w:val="22"/>
        </w:rPr>
      </w:pPr>
    </w:p>
    <w:p w14:paraId="249CFD22" w14:textId="54CF5EB7" w:rsidR="0080780C" w:rsidRPr="00AD464F" w:rsidRDefault="00FF75FD" w:rsidP="00095058">
      <w:pPr>
        <w:keepNext/>
        <w:spacing w:line="240" w:lineRule="auto"/>
        <w:rPr>
          <w:noProof/>
          <w:szCs w:val="22"/>
        </w:rPr>
      </w:pPr>
      <w:r w:rsidRPr="00AD464F">
        <w:t>Comprimé bleu, en forme de triangle arrondi de 9 x 9 mm</w:t>
      </w:r>
      <w:r w:rsidR="00B33169">
        <w:t>,</w:t>
      </w:r>
      <w:r w:rsidRPr="00AD464F">
        <w:t xml:space="preserve"> </w:t>
      </w:r>
      <w:r w:rsidR="00645D7F">
        <w:t>gravé avec</w:t>
      </w:r>
      <w:r w:rsidR="00645D7F" w:rsidRPr="00AD464F">
        <w:t xml:space="preserve"> </w:t>
      </w:r>
      <w:r w:rsidRPr="00AD464F">
        <w:t>l'inscription « Lilly</w:t>
      </w:r>
      <w:r w:rsidR="008767A8">
        <w:t> </w:t>
      </w:r>
      <w:r w:rsidRPr="00AD464F">
        <w:t>50 »</w:t>
      </w:r>
      <w:r w:rsidR="00C926C5">
        <w:t xml:space="preserve"> </w:t>
      </w:r>
      <w:r w:rsidRPr="00AD464F">
        <w:t>sur une face et « 6902 » sur l'autre face.</w:t>
      </w:r>
    </w:p>
    <w:p w14:paraId="307AF2B6" w14:textId="77777777" w:rsidR="00FF75FD" w:rsidRPr="00AD464F" w:rsidRDefault="00FF75FD" w:rsidP="0080780C">
      <w:pPr>
        <w:spacing w:line="240" w:lineRule="auto"/>
        <w:rPr>
          <w:noProof/>
          <w:szCs w:val="22"/>
        </w:rPr>
      </w:pPr>
    </w:p>
    <w:p w14:paraId="2DC63B20" w14:textId="77777777" w:rsidR="00F2146C" w:rsidRPr="00C27274" w:rsidRDefault="00F2146C" w:rsidP="00F2146C">
      <w:pPr>
        <w:spacing w:line="240" w:lineRule="auto"/>
      </w:pPr>
      <w:r w:rsidRPr="00C27274">
        <w:rPr>
          <w:u w:val="single"/>
        </w:rPr>
        <w:t xml:space="preserve">Jaypirca </w:t>
      </w:r>
      <w:r>
        <w:rPr>
          <w:u w:val="single"/>
        </w:rPr>
        <w:t>10</w:t>
      </w:r>
      <w:r w:rsidRPr="00C27274">
        <w:rPr>
          <w:u w:val="single"/>
        </w:rPr>
        <w:t>0 mg comprimés pelliculés</w:t>
      </w:r>
    </w:p>
    <w:p w14:paraId="7E1037D7" w14:textId="77777777" w:rsidR="0080780C" w:rsidRPr="00AD464F" w:rsidRDefault="0080780C" w:rsidP="00095058">
      <w:pPr>
        <w:keepNext/>
        <w:spacing w:line="240" w:lineRule="auto"/>
        <w:rPr>
          <w:noProof/>
          <w:szCs w:val="22"/>
        </w:rPr>
      </w:pPr>
    </w:p>
    <w:p w14:paraId="3EC9AD2B" w14:textId="64A81277" w:rsidR="00812D16" w:rsidRPr="00AD464F" w:rsidRDefault="00FF75FD" w:rsidP="00095058">
      <w:pPr>
        <w:keepNext/>
        <w:spacing w:line="240" w:lineRule="auto"/>
        <w:rPr>
          <w:noProof/>
          <w:szCs w:val="22"/>
        </w:rPr>
      </w:pPr>
      <w:r w:rsidRPr="00AD464F">
        <w:t>Comprimé bleu, rond de 10 mm</w:t>
      </w:r>
      <w:r w:rsidR="00B33169">
        <w:t>,</w:t>
      </w:r>
      <w:r w:rsidRPr="00AD464F">
        <w:t xml:space="preserve"> </w:t>
      </w:r>
      <w:r w:rsidR="00B33169">
        <w:t>gravé avec</w:t>
      </w:r>
      <w:r w:rsidRPr="00AD464F">
        <w:t xml:space="preserve"> l'inscription « Lilly</w:t>
      </w:r>
      <w:r w:rsidR="008767A8">
        <w:t> </w:t>
      </w:r>
      <w:r w:rsidRPr="00AD464F">
        <w:t>100 » sur une face et « 7026 » sur l'autre face.</w:t>
      </w:r>
    </w:p>
    <w:p w14:paraId="2B044847" w14:textId="77777777" w:rsidR="0080780C" w:rsidRPr="00AD464F" w:rsidRDefault="0080780C" w:rsidP="0080780C">
      <w:pPr>
        <w:spacing w:line="240" w:lineRule="auto"/>
        <w:rPr>
          <w:noProof/>
          <w:szCs w:val="22"/>
        </w:rPr>
      </w:pPr>
    </w:p>
    <w:p w14:paraId="5A052343" w14:textId="77777777" w:rsidR="00812D16" w:rsidRPr="00AD464F" w:rsidRDefault="00812D16" w:rsidP="00204AAB">
      <w:pPr>
        <w:spacing w:line="240" w:lineRule="auto"/>
        <w:rPr>
          <w:noProof/>
          <w:szCs w:val="22"/>
        </w:rPr>
      </w:pPr>
    </w:p>
    <w:p w14:paraId="43F46E93" w14:textId="0FC6AD2B" w:rsidR="000B6028" w:rsidRPr="00B74A3B" w:rsidRDefault="000B6028" w:rsidP="000B6028">
      <w:pPr>
        <w:keepNext/>
        <w:spacing w:line="240" w:lineRule="auto"/>
        <w:ind w:left="567" w:hanging="567"/>
        <w:outlineLvl w:val="0"/>
        <w:rPr>
          <w:caps/>
          <w:noProof/>
        </w:rPr>
      </w:pPr>
      <w:r w:rsidRPr="00B74A3B">
        <w:rPr>
          <w:b/>
        </w:rPr>
        <w:lastRenderedPageBreak/>
        <w:t>4.</w:t>
      </w:r>
      <w:r w:rsidRPr="00B74A3B">
        <w:rPr>
          <w:b/>
          <w:caps/>
        </w:rPr>
        <w:tab/>
      </w:r>
      <w:r w:rsidRPr="00B74A3B">
        <w:rPr>
          <w:b/>
        </w:rPr>
        <w:t>INFORMATIONS CLINIQUES</w:t>
      </w:r>
      <w:r w:rsidR="00D944F9">
        <w:rPr>
          <w:b/>
        </w:rPr>
        <w:fldChar w:fldCharType="begin"/>
      </w:r>
      <w:r w:rsidR="00D944F9">
        <w:rPr>
          <w:b/>
        </w:rPr>
        <w:instrText xml:space="preserve"> DOCVARIABLE VAULT_ND_48d90bc0-463b-459c-8186-ded2bd790e3b \* MERGEFORMAT </w:instrText>
      </w:r>
      <w:r w:rsidR="00D944F9">
        <w:rPr>
          <w:b/>
        </w:rPr>
        <w:fldChar w:fldCharType="separate"/>
      </w:r>
      <w:r w:rsidR="00D944F9">
        <w:rPr>
          <w:b/>
        </w:rPr>
        <w:t xml:space="preserve"> </w:t>
      </w:r>
      <w:r w:rsidR="00D944F9">
        <w:rPr>
          <w:b/>
        </w:rPr>
        <w:fldChar w:fldCharType="end"/>
      </w:r>
    </w:p>
    <w:p w14:paraId="1342DF7D" w14:textId="77777777" w:rsidR="000B6028" w:rsidRPr="00B74A3B" w:rsidRDefault="000B6028" w:rsidP="000B6028">
      <w:pPr>
        <w:keepNext/>
        <w:spacing w:line="240" w:lineRule="auto"/>
        <w:rPr>
          <w:noProof/>
        </w:rPr>
      </w:pPr>
    </w:p>
    <w:p w14:paraId="078468F9" w14:textId="6B6CF288" w:rsidR="000B6028" w:rsidRPr="00B74A3B" w:rsidRDefault="000B6028">
      <w:pPr>
        <w:keepNext/>
        <w:numPr>
          <w:ilvl w:val="1"/>
          <w:numId w:val="11"/>
        </w:numPr>
        <w:spacing w:line="240" w:lineRule="auto"/>
        <w:ind w:left="570" w:hanging="570"/>
        <w:outlineLvl w:val="0"/>
        <w:rPr>
          <w:b/>
          <w:lang w:eastAsia="fr-FR" w:bidi="fr-FR"/>
        </w:rPr>
      </w:pPr>
      <w:r w:rsidRPr="00B74A3B">
        <w:rPr>
          <w:b/>
          <w:lang w:eastAsia="fr-FR" w:bidi="fr-FR"/>
        </w:rPr>
        <w:t>Indications thérapeutiques</w:t>
      </w:r>
      <w:r w:rsidR="00D944F9">
        <w:rPr>
          <w:b/>
          <w:lang w:eastAsia="fr-FR" w:bidi="fr-FR"/>
        </w:rPr>
        <w:fldChar w:fldCharType="begin"/>
      </w:r>
      <w:r w:rsidR="00D944F9">
        <w:rPr>
          <w:b/>
          <w:lang w:eastAsia="fr-FR" w:bidi="fr-FR"/>
        </w:rPr>
        <w:instrText xml:space="preserve"> DOCVARIABLE vault_nd_1dae955b-a23b-485f-9ae0-e79e4ec482b0 \* MERGEFORMAT </w:instrText>
      </w:r>
      <w:r w:rsidR="00D944F9">
        <w:rPr>
          <w:b/>
          <w:lang w:eastAsia="fr-FR" w:bidi="fr-FR"/>
        </w:rPr>
        <w:fldChar w:fldCharType="separate"/>
      </w:r>
      <w:r w:rsidR="00D944F9">
        <w:rPr>
          <w:b/>
          <w:lang w:eastAsia="fr-FR" w:bidi="fr-FR"/>
        </w:rPr>
        <w:t xml:space="preserve"> </w:t>
      </w:r>
      <w:r w:rsidR="00D944F9">
        <w:rPr>
          <w:b/>
          <w:lang w:eastAsia="fr-FR" w:bidi="fr-FR"/>
        </w:rPr>
        <w:fldChar w:fldCharType="end"/>
      </w:r>
    </w:p>
    <w:p w14:paraId="1FE51722" w14:textId="77777777" w:rsidR="00812D16" w:rsidRPr="00220800" w:rsidRDefault="00812D16" w:rsidP="002B769F">
      <w:pPr>
        <w:keepNext/>
        <w:spacing w:line="240" w:lineRule="auto"/>
        <w:rPr>
          <w:noProof/>
          <w:szCs w:val="22"/>
          <w:highlight w:val="yellow"/>
          <w:lang w:val="en-US"/>
        </w:rPr>
      </w:pPr>
    </w:p>
    <w:p w14:paraId="32B52FD2" w14:textId="00DCCA82" w:rsidR="00812D16" w:rsidRDefault="00A6690B" w:rsidP="002B769F">
      <w:pPr>
        <w:keepNext/>
        <w:spacing w:line="240" w:lineRule="auto"/>
      </w:pPr>
      <w:r w:rsidRPr="00A6690B">
        <w:t xml:space="preserve">Jaypirca en monothérapie est indiqué dans le traitement des patients adultes atteints de lymphome à cellules du manteau (LCM) </w:t>
      </w:r>
      <w:r w:rsidR="007C0474">
        <w:t>en rechute</w:t>
      </w:r>
      <w:r w:rsidR="00AF6B48">
        <w:t xml:space="preserve"> ou réfractaire </w:t>
      </w:r>
      <w:r w:rsidR="007C4EA7">
        <w:t>qui ont</w:t>
      </w:r>
      <w:r w:rsidRPr="00A6690B">
        <w:t xml:space="preserve"> été précédemment traités par un inhibiteur de la tyrosine kinase de Bruton (BTK).</w:t>
      </w:r>
    </w:p>
    <w:p w14:paraId="4E41883B" w14:textId="77777777" w:rsidR="00710987" w:rsidRDefault="00710987" w:rsidP="002B769F">
      <w:pPr>
        <w:keepNext/>
        <w:spacing w:line="240" w:lineRule="auto"/>
      </w:pPr>
    </w:p>
    <w:p w14:paraId="494001A2" w14:textId="51130BFE" w:rsidR="00710987" w:rsidRPr="00A6690B" w:rsidRDefault="00710987" w:rsidP="002B769F">
      <w:pPr>
        <w:keepNext/>
        <w:spacing w:line="240" w:lineRule="auto"/>
        <w:rPr>
          <w:noProof/>
          <w:szCs w:val="22"/>
        </w:rPr>
      </w:pPr>
      <w:r>
        <w:t>Jaypirca en mono</w:t>
      </w:r>
      <w:r w:rsidR="00815F7B">
        <w:t>thérapie est indiqué dans le traitement des patients adultes atteints de leucémie lymphoïde chronique (LLC) en re</w:t>
      </w:r>
      <w:r w:rsidR="008B1DF9">
        <w:t>chute ou réfractaire qui ont été précédemment traités par un inhibiteur de la BTK.</w:t>
      </w:r>
    </w:p>
    <w:p w14:paraId="568E3626" w14:textId="77777777" w:rsidR="00812D16" w:rsidRPr="00A6690B" w:rsidRDefault="00812D16" w:rsidP="00204AAB">
      <w:pPr>
        <w:spacing w:line="240" w:lineRule="auto"/>
        <w:rPr>
          <w:noProof/>
          <w:szCs w:val="22"/>
          <w:highlight w:val="yellow"/>
        </w:rPr>
      </w:pPr>
    </w:p>
    <w:p w14:paraId="2A216419" w14:textId="14B93757" w:rsidR="00A859FB" w:rsidRPr="00B74A3B" w:rsidRDefault="00A859FB" w:rsidP="00A859FB">
      <w:pPr>
        <w:keepNext/>
        <w:spacing w:line="240" w:lineRule="auto"/>
        <w:outlineLvl w:val="0"/>
        <w:rPr>
          <w:b/>
          <w:noProof/>
        </w:rPr>
      </w:pPr>
      <w:r w:rsidRPr="00B74A3B">
        <w:rPr>
          <w:b/>
        </w:rPr>
        <w:t>4.2</w:t>
      </w:r>
      <w:r w:rsidRPr="00B74A3B">
        <w:rPr>
          <w:b/>
        </w:rPr>
        <w:tab/>
        <w:t>Posologie et mode d’administration</w:t>
      </w:r>
      <w:r w:rsidR="00D944F9">
        <w:rPr>
          <w:b/>
        </w:rPr>
        <w:fldChar w:fldCharType="begin"/>
      </w:r>
      <w:r w:rsidR="00D944F9">
        <w:rPr>
          <w:b/>
        </w:rPr>
        <w:instrText xml:space="preserve"> DOCVARIABLE vault_nd_c519f751-5a5d-4a40-a162-43a92dbff6c5 \* MERGEFORMAT </w:instrText>
      </w:r>
      <w:r w:rsidR="00D944F9">
        <w:rPr>
          <w:b/>
        </w:rPr>
        <w:fldChar w:fldCharType="separate"/>
      </w:r>
      <w:r w:rsidR="00D944F9">
        <w:rPr>
          <w:b/>
        </w:rPr>
        <w:t xml:space="preserve"> </w:t>
      </w:r>
      <w:r w:rsidR="00D944F9">
        <w:rPr>
          <w:b/>
        </w:rPr>
        <w:fldChar w:fldCharType="end"/>
      </w:r>
    </w:p>
    <w:p w14:paraId="5E09E13B" w14:textId="77777777" w:rsidR="00A859FB" w:rsidRPr="00B74A3B" w:rsidRDefault="00A859FB" w:rsidP="00A859FB">
      <w:pPr>
        <w:keepNext/>
        <w:spacing w:line="240" w:lineRule="auto"/>
      </w:pPr>
    </w:p>
    <w:p w14:paraId="3C127F95" w14:textId="10511EE9" w:rsidR="00A859FB" w:rsidRPr="00B74A3B" w:rsidRDefault="00A859FB" w:rsidP="00A859FB">
      <w:pPr>
        <w:keepNext/>
        <w:autoSpaceDE w:val="0"/>
        <w:autoSpaceDN w:val="0"/>
        <w:adjustRightInd w:val="0"/>
        <w:spacing w:line="240" w:lineRule="auto"/>
        <w:rPr>
          <w:rFonts w:eastAsia="SimSun"/>
        </w:rPr>
      </w:pPr>
      <w:r w:rsidRPr="00B74A3B">
        <w:t xml:space="preserve">Le traitement par </w:t>
      </w:r>
      <w:r>
        <w:t>Jaypirca</w:t>
      </w:r>
      <w:r w:rsidRPr="00B74A3B">
        <w:t xml:space="preserve"> doit être instauré et </w:t>
      </w:r>
      <w:r w:rsidR="00561B1A">
        <w:t>suivi</w:t>
      </w:r>
      <w:r w:rsidR="00561B1A" w:rsidRPr="00B74A3B">
        <w:t xml:space="preserve"> </w:t>
      </w:r>
      <w:r w:rsidRPr="00B74A3B">
        <w:t>par des médecins expérimentés dans l'utilisation de traitements anticancéreux.</w:t>
      </w:r>
    </w:p>
    <w:p w14:paraId="2CB5473B" w14:textId="77777777" w:rsidR="00A859FB" w:rsidRPr="00B74A3B" w:rsidRDefault="00A859FB" w:rsidP="00263A4B">
      <w:pPr>
        <w:autoSpaceDE w:val="0"/>
        <w:autoSpaceDN w:val="0"/>
        <w:adjustRightInd w:val="0"/>
        <w:spacing w:line="240" w:lineRule="auto"/>
        <w:ind w:firstLine="720"/>
        <w:rPr>
          <w:rFonts w:eastAsia="SimSun"/>
          <w:lang w:eastAsia="en-GB"/>
        </w:rPr>
      </w:pPr>
    </w:p>
    <w:p w14:paraId="417A5C94" w14:textId="77777777" w:rsidR="00A859FB" w:rsidRPr="00B74A3B" w:rsidRDefault="00A859FB" w:rsidP="00A859FB">
      <w:pPr>
        <w:keepNext/>
        <w:spacing w:line="240" w:lineRule="auto"/>
        <w:rPr>
          <w:u w:val="single"/>
        </w:rPr>
      </w:pPr>
      <w:r w:rsidRPr="00B74A3B">
        <w:rPr>
          <w:u w:val="single"/>
        </w:rPr>
        <w:t>Posologie</w:t>
      </w:r>
    </w:p>
    <w:p w14:paraId="7DC1AF16" w14:textId="3E3C373A" w:rsidR="00812D16" w:rsidRPr="00FB575F" w:rsidRDefault="00812D16" w:rsidP="009377E5">
      <w:pPr>
        <w:keepNext/>
        <w:spacing w:line="240" w:lineRule="auto"/>
        <w:rPr>
          <w:szCs w:val="22"/>
          <w:highlight w:val="yellow"/>
        </w:rPr>
      </w:pPr>
    </w:p>
    <w:p w14:paraId="271F81DD" w14:textId="4F442215" w:rsidR="00D05F85" w:rsidRPr="006958AD" w:rsidRDefault="00FB575F" w:rsidP="009377E5">
      <w:pPr>
        <w:keepNext/>
        <w:spacing w:line="240" w:lineRule="auto"/>
        <w:rPr>
          <w:szCs w:val="22"/>
        </w:rPr>
      </w:pPr>
      <w:r w:rsidRPr="006958AD">
        <w:t>La dose recommandée de pirtobrutinib est de</w:t>
      </w:r>
      <w:r w:rsidR="00E90666" w:rsidRPr="006958AD">
        <w:t xml:space="preserve"> 200</w:t>
      </w:r>
      <w:r w:rsidR="008767A8">
        <w:t> </w:t>
      </w:r>
      <w:r w:rsidR="00E90666" w:rsidRPr="006958AD">
        <w:t>mg une fois par jour.</w:t>
      </w:r>
    </w:p>
    <w:p w14:paraId="4C367064" w14:textId="09E8FF51" w:rsidR="00D05F85" w:rsidRDefault="00D05F85" w:rsidP="00204AAB">
      <w:pPr>
        <w:spacing w:line="240" w:lineRule="auto"/>
        <w:rPr>
          <w:szCs w:val="22"/>
        </w:rPr>
      </w:pPr>
    </w:p>
    <w:p w14:paraId="67025DC4" w14:textId="58B8757C" w:rsidR="004F0161" w:rsidRPr="004F0161" w:rsidRDefault="004F0161" w:rsidP="004F0161">
      <w:pPr>
        <w:spacing w:line="240" w:lineRule="auto"/>
        <w:rPr>
          <w:szCs w:val="22"/>
        </w:rPr>
      </w:pPr>
      <w:r w:rsidRPr="004F0161">
        <w:rPr>
          <w:szCs w:val="22"/>
        </w:rPr>
        <w:t>L'administration de Jaypirca doit être interrompue jusqu'au r</w:t>
      </w:r>
      <w:r>
        <w:rPr>
          <w:szCs w:val="22"/>
        </w:rPr>
        <w:t>etour à un</w:t>
      </w:r>
      <w:r w:rsidRPr="004F0161">
        <w:rPr>
          <w:szCs w:val="22"/>
        </w:rPr>
        <w:t xml:space="preserve"> grade</w:t>
      </w:r>
      <w:r w:rsidR="00F931BB">
        <w:rPr>
          <w:szCs w:val="22"/>
        </w:rPr>
        <w:t> </w:t>
      </w:r>
      <w:r w:rsidRPr="004F0161">
        <w:rPr>
          <w:szCs w:val="22"/>
        </w:rPr>
        <w:t xml:space="preserve">1 ou </w:t>
      </w:r>
      <w:r w:rsidR="000C10B3">
        <w:rPr>
          <w:szCs w:val="22"/>
        </w:rPr>
        <w:t>a</w:t>
      </w:r>
      <w:r w:rsidRPr="004F0161">
        <w:rPr>
          <w:szCs w:val="22"/>
        </w:rPr>
        <w:t xml:space="preserve">u niveau de base lorsque le patient présente </w:t>
      </w:r>
      <w:r w:rsidR="008B1B71">
        <w:rPr>
          <w:szCs w:val="22"/>
        </w:rPr>
        <w:t xml:space="preserve">l’évènement </w:t>
      </w:r>
      <w:r w:rsidR="000C10B3">
        <w:rPr>
          <w:szCs w:val="22"/>
        </w:rPr>
        <w:t>indésirable</w:t>
      </w:r>
      <w:r w:rsidRPr="004F0161">
        <w:rPr>
          <w:szCs w:val="22"/>
        </w:rPr>
        <w:t xml:space="preserve"> suivant :</w:t>
      </w:r>
    </w:p>
    <w:p w14:paraId="60D4069C" w14:textId="54C22623" w:rsidR="004F0161" w:rsidRPr="000C10B3" w:rsidRDefault="004F0161" w:rsidP="000C10B3">
      <w:pPr>
        <w:pStyle w:val="Lijstalinea"/>
        <w:numPr>
          <w:ilvl w:val="0"/>
          <w:numId w:val="18"/>
        </w:numPr>
        <w:spacing w:line="240" w:lineRule="auto"/>
        <w:rPr>
          <w:szCs w:val="22"/>
        </w:rPr>
      </w:pPr>
      <w:r w:rsidRPr="000C10B3">
        <w:rPr>
          <w:szCs w:val="22"/>
        </w:rPr>
        <w:t>Neutropénie de grade</w:t>
      </w:r>
      <w:r w:rsidR="00BF109F">
        <w:rPr>
          <w:szCs w:val="22"/>
        </w:rPr>
        <w:t> </w:t>
      </w:r>
      <w:r w:rsidRPr="000C10B3">
        <w:rPr>
          <w:szCs w:val="22"/>
        </w:rPr>
        <w:t>3 avec fièvre et/ou infection</w:t>
      </w:r>
    </w:p>
    <w:p w14:paraId="410E89C8" w14:textId="03DC4F6E" w:rsidR="004F0161" w:rsidRPr="000C10B3" w:rsidRDefault="004F0161" w:rsidP="000C10B3">
      <w:pPr>
        <w:pStyle w:val="Lijstalinea"/>
        <w:numPr>
          <w:ilvl w:val="0"/>
          <w:numId w:val="18"/>
        </w:numPr>
        <w:spacing w:line="240" w:lineRule="auto"/>
        <w:rPr>
          <w:szCs w:val="22"/>
        </w:rPr>
      </w:pPr>
      <w:r w:rsidRPr="000C10B3">
        <w:rPr>
          <w:szCs w:val="22"/>
        </w:rPr>
        <w:t>Neutropénie de grade</w:t>
      </w:r>
      <w:r w:rsidR="00BF109F">
        <w:rPr>
          <w:szCs w:val="22"/>
        </w:rPr>
        <w:t> </w:t>
      </w:r>
      <w:r w:rsidRPr="000C10B3">
        <w:rPr>
          <w:szCs w:val="22"/>
        </w:rPr>
        <w:t>4 d</w:t>
      </w:r>
      <w:r w:rsidR="008767A8">
        <w:rPr>
          <w:szCs w:val="22"/>
        </w:rPr>
        <w:t>’</w:t>
      </w:r>
      <w:r w:rsidRPr="000C10B3">
        <w:rPr>
          <w:szCs w:val="22"/>
        </w:rPr>
        <w:t>une durée ≥</w:t>
      </w:r>
      <w:r w:rsidR="00BF109F">
        <w:rPr>
          <w:szCs w:val="22"/>
        </w:rPr>
        <w:t> </w:t>
      </w:r>
      <w:r w:rsidRPr="000C10B3">
        <w:rPr>
          <w:szCs w:val="22"/>
        </w:rPr>
        <w:t>7</w:t>
      </w:r>
      <w:r w:rsidR="00BF109F">
        <w:rPr>
          <w:szCs w:val="22"/>
        </w:rPr>
        <w:t> </w:t>
      </w:r>
      <w:r w:rsidRPr="000C10B3">
        <w:rPr>
          <w:szCs w:val="22"/>
        </w:rPr>
        <w:t>jours</w:t>
      </w:r>
    </w:p>
    <w:p w14:paraId="65C881D7" w14:textId="6200C9E5" w:rsidR="004F0161" w:rsidRPr="000C10B3" w:rsidRDefault="004F0161" w:rsidP="000C10B3">
      <w:pPr>
        <w:pStyle w:val="Lijstalinea"/>
        <w:numPr>
          <w:ilvl w:val="0"/>
          <w:numId w:val="18"/>
        </w:numPr>
        <w:spacing w:line="240" w:lineRule="auto"/>
        <w:rPr>
          <w:szCs w:val="22"/>
        </w:rPr>
      </w:pPr>
      <w:r w:rsidRPr="000C10B3">
        <w:rPr>
          <w:szCs w:val="22"/>
        </w:rPr>
        <w:t>Thrombocytopénie de grade</w:t>
      </w:r>
      <w:r w:rsidR="00BF109F">
        <w:rPr>
          <w:szCs w:val="22"/>
        </w:rPr>
        <w:t> </w:t>
      </w:r>
      <w:r w:rsidRPr="000C10B3">
        <w:rPr>
          <w:szCs w:val="22"/>
        </w:rPr>
        <w:t>3 avec saignement</w:t>
      </w:r>
    </w:p>
    <w:p w14:paraId="5829FA2F" w14:textId="6CD8A5CE" w:rsidR="004F0161" w:rsidRPr="000C10B3" w:rsidRDefault="004F0161" w:rsidP="000C10B3">
      <w:pPr>
        <w:pStyle w:val="Lijstalinea"/>
        <w:numPr>
          <w:ilvl w:val="0"/>
          <w:numId w:val="18"/>
        </w:numPr>
        <w:spacing w:line="240" w:lineRule="auto"/>
        <w:rPr>
          <w:szCs w:val="22"/>
        </w:rPr>
      </w:pPr>
      <w:r w:rsidRPr="000C10B3">
        <w:rPr>
          <w:szCs w:val="22"/>
        </w:rPr>
        <w:t>Thrombo</w:t>
      </w:r>
      <w:r w:rsidR="00F4357B">
        <w:rPr>
          <w:szCs w:val="22"/>
        </w:rPr>
        <w:t>cyto</w:t>
      </w:r>
      <w:r w:rsidRPr="000C10B3">
        <w:rPr>
          <w:szCs w:val="22"/>
        </w:rPr>
        <w:t>pénie de grade</w:t>
      </w:r>
      <w:r w:rsidR="00BF109F">
        <w:rPr>
          <w:szCs w:val="22"/>
        </w:rPr>
        <w:t> </w:t>
      </w:r>
      <w:r w:rsidRPr="000C10B3">
        <w:rPr>
          <w:szCs w:val="22"/>
        </w:rPr>
        <w:t>4</w:t>
      </w:r>
    </w:p>
    <w:p w14:paraId="5D6FB830" w14:textId="7387A94A" w:rsidR="004F0161" w:rsidRPr="000C10B3" w:rsidRDefault="004F0161" w:rsidP="000C10B3">
      <w:pPr>
        <w:pStyle w:val="Lijstalinea"/>
        <w:numPr>
          <w:ilvl w:val="0"/>
          <w:numId w:val="18"/>
        </w:numPr>
        <w:spacing w:line="240" w:lineRule="auto"/>
        <w:rPr>
          <w:szCs w:val="22"/>
        </w:rPr>
      </w:pPr>
      <w:r w:rsidRPr="000C10B3">
        <w:rPr>
          <w:szCs w:val="22"/>
        </w:rPr>
        <w:t>Toxicité non hématologique de grade</w:t>
      </w:r>
      <w:r w:rsidR="00BF109F">
        <w:rPr>
          <w:szCs w:val="22"/>
        </w:rPr>
        <w:t> </w:t>
      </w:r>
      <w:r w:rsidRPr="000C10B3">
        <w:rPr>
          <w:szCs w:val="22"/>
        </w:rPr>
        <w:t>3 ou 4</w:t>
      </w:r>
    </w:p>
    <w:p w14:paraId="21F9DE7C" w14:textId="77777777" w:rsidR="004F0161" w:rsidRPr="004F0161" w:rsidRDefault="004F0161" w:rsidP="004F0161">
      <w:pPr>
        <w:spacing w:line="240" w:lineRule="auto"/>
        <w:rPr>
          <w:szCs w:val="22"/>
        </w:rPr>
      </w:pPr>
    </w:p>
    <w:p w14:paraId="09D8F4BF" w14:textId="52887334" w:rsidR="004F0161" w:rsidRPr="004F0161" w:rsidRDefault="004F0161" w:rsidP="004F0161">
      <w:pPr>
        <w:spacing w:line="240" w:lineRule="auto"/>
        <w:rPr>
          <w:szCs w:val="22"/>
        </w:rPr>
      </w:pPr>
      <w:r w:rsidRPr="004F0161">
        <w:rPr>
          <w:szCs w:val="22"/>
        </w:rPr>
        <w:t xml:space="preserve">La lymphocytose asymptomatique n'est pas considérée comme un effet indésirable, et les patients qui </w:t>
      </w:r>
      <w:r w:rsidR="00F4357B">
        <w:rPr>
          <w:szCs w:val="22"/>
        </w:rPr>
        <w:t>présentent cet évènement</w:t>
      </w:r>
      <w:r w:rsidRPr="004F0161">
        <w:rPr>
          <w:szCs w:val="22"/>
        </w:rPr>
        <w:t xml:space="preserve"> peuvent continuer à prendre Jaypirca.</w:t>
      </w:r>
    </w:p>
    <w:p w14:paraId="6331F19E" w14:textId="77777777" w:rsidR="004F0161" w:rsidRPr="004F0161" w:rsidRDefault="004F0161" w:rsidP="004F0161">
      <w:pPr>
        <w:spacing w:line="240" w:lineRule="auto"/>
        <w:rPr>
          <w:szCs w:val="22"/>
        </w:rPr>
      </w:pPr>
    </w:p>
    <w:p w14:paraId="0E0F1703" w14:textId="34F2839F" w:rsidR="004F0161" w:rsidRPr="004F0161" w:rsidRDefault="004F0161" w:rsidP="004F0161">
      <w:pPr>
        <w:spacing w:line="240" w:lineRule="auto"/>
        <w:rPr>
          <w:szCs w:val="22"/>
        </w:rPr>
      </w:pPr>
      <w:r w:rsidRPr="004F0161">
        <w:rPr>
          <w:szCs w:val="22"/>
        </w:rPr>
        <w:t>Dans l</w:t>
      </w:r>
      <w:r w:rsidR="00BE5946">
        <w:rPr>
          <w:szCs w:val="22"/>
        </w:rPr>
        <w:t xml:space="preserve">es </w:t>
      </w:r>
      <w:r w:rsidRPr="004F0161">
        <w:rPr>
          <w:szCs w:val="22"/>
        </w:rPr>
        <w:t>étude</w:t>
      </w:r>
      <w:r w:rsidR="00BE5946">
        <w:rPr>
          <w:szCs w:val="22"/>
        </w:rPr>
        <w:t>s</w:t>
      </w:r>
      <w:r w:rsidRPr="004F0161">
        <w:rPr>
          <w:szCs w:val="22"/>
        </w:rPr>
        <w:t xml:space="preserve"> clinique</w:t>
      </w:r>
      <w:r w:rsidR="00BE5946">
        <w:rPr>
          <w:szCs w:val="22"/>
        </w:rPr>
        <w:t>s</w:t>
      </w:r>
      <w:r w:rsidRPr="004F0161">
        <w:rPr>
          <w:szCs w:val="22"/>
        </w:rPr>
        <w:t xml:space="preserve">, les </w:t>
      </w:r>
      <w:r w:rsidR="001647CD">
        <w:rPr>
          <w:szCs w:val="22"/>
        </w:rPr>
        <w:t>évènements</w:t>
      </w:r>
      <w:r w:rsidR="001647CD" w:rsidRPr="004F0161">
        <w:rPr>
          <w:szCs w:val="22"/>
        </w:rPr>
        <w:t xml:space="preserve"> </w:t>
      </w:r>
      <w:r w:rsidRPr="004F0161">
        <w:rPr>
          <w:szCs w:val="22"/>
        </w:rPr>
        <w:t xml:space="preserve">indésirables observés chez un nombre limité de patients ont été </w:t>
      </w:r>
      <w:r w:rsidR="00363CDA">
        <w:rPr>
          <w:szCs w:val="22"/>
        </w:rPr>
        <w:t>pris en charge</w:t>
      </w:r>
      <w:r w:rsidRPr="004F0161">
        <w:rPr>
          <w:szCs w:val="22"/>
        </w:rPr>
        <w:t xml:space="preserve"> par une réduction de la dose (voir </w:t>
      </w:r>
      <w:r w:rsidR="000360E2">
        <w:rPr>
          <w:szCs w:val="22"/>
        </w:rPr>
        <w:t>rubrique</w:t>
      </w:r>
      <w:r w:rsidR="00152CE9">
        <w:rPr>
          <w:szCs w:val="22"/>
        </w:rPr>
        <w:t> </w:t>
      </w:r>
      <w:r w:rsidRPr="004F0161">
        <w:rPr>
          <w:szCs w:val="22"/>
        </w:rPr>
        <w:t>5.1).</w:t>
      </w:r>
    </w:p>
    <w:p w14:paraId="73F2950B" w14:textId="77777777" w:rsidR="004F0161" w:rsidRPr="004F0161" w:rsidRDefault="004F0161" w:rsidP="004F0161">
      <w:pPr>
        <w:spacing w:line="240" w:lineRule="auto"/>
        <w:rPr>
          <w:szCs w:val="22"/>
        </w:rPr>
      </w:pPr>
    </w:p>
    <w:p w14:paraId="2F1C9D61" w14:textId="36F2DBAD" w:rsidR="00D05F85" w:rsidRPr="006958AD" w:rsidRDefault="008E4125" w:rsidP="00204AAB">
      <w:pPr>
        <w:spacing w:line="240" w:lineRule="auto"/>
        <w:rPr>
          <w:szCs w:val="22"/>
        </w:rPr>
      </w:pPr>
      <w:r w:rsidRPr="006958AD">
        <w:t xml:space="preserve">Le traitement doit être </w:t>
      </w:r>
      <w:r w:rsidR="00045968">
        <w:t>poursuivi</w:t>
      </w:r>
      <w:r w:rsidR="00F20D97" w:rsidRPr="006958AD">
        <w:t xml:space="preserve"> jusqu’à</w:t>
      </w:r>
      <w:r w:rsidR="006958AD" w:rsidRPr="006958AD">
        <w:t xml:space="preserve"> la progression de la maladie ou </w:t>
      </w:r>
      <w:r w:rsidR="00651971">
        <w:t>la survenue d’</w:t>
      </w:r>
      <w:r w:rsidR="006958AD" w:rsidRPr="006958AD">
        <w:t>une toxicité inacceptable.</w:t>
      </w:r>
    </w:p>
    <w:p w14:paraId="7CE65FEC" w14:textId="2CFADA92" w:rsidR="00D05F85" w:rsidRPr="006958AD" w:rsidRDefault="00D05F85" w:rsidP="00204AAB">
      <w:pPr>
        <w:spacing w:line="240" w:lineRule="auto"/>
        <w:rPr>
          <w:szCs w:val="22"/>
        </w:rPr>
      </w:pPr>
    </w:p>
    <w:p w14:paraId="1381CCA2" w14:textId="443B2194" w:rsidR="00B46E78" w:rsidRPr="00AD464F" w:rsidRDefault="00DE3B71" w:rsidP="00DE3B71">
      <w:pPr>
        <w:keepNext/>
        <w:spacing w:line="240" w:lineRule="auto"/>
        <w:rPr>
          <w:i/>
          <w:szCs w:val="22"/>
          <w:u w:val="single"/>
        </w:rPr>
      </w:pPr>
      <w:r w:rsidRPr="00AD464F">
        <w:rPr>
          <w:i/>
        </w:rPr>
        <w:t>Dose oubliée</w:t>
      </w:r>
    </w:p>
    <w:p w14:paraId="066E5FB9" w14:textId="6B90F6BE" w:rsidR="00D05F85" w:rsidRPr="00AD464F" w:rsidRDefault="00913B4F" w:rsidP="009377E5">
      <w:pPr>
        <w:keepNext/>
        <w:spacing w:line="240" w:lineRule="auto"/>
        <w:rPr>
          <w:szCs w:val="22"/>
        </w:rPr>
      </w:pPr>
      <w:r w:rsidRPr="00AD464F">
        <w:t>Si plus de 12 heures se sont écoulées depuis qu</w:t>
      </w:r>
      <w:r w:rsidR="008767A8">
        <w:t>’</w:t>
      </w:r>
      <w:r w:rsidRPr="00AD464F">
        <w:t xml:space="preserve">un patient a oublié de prendre une dose, </w:t>
      </w:r>
      <w:r w:rsidR="00D85052">
        <w:t>le patient doit</w:t>
      </w:r>
      <w:r w:rsidRPr="00AD464F">
        <w:t xml:space="preserve"> </w:t>
      </w:r>
      <w:r w:rsidR="00282EA1">
        <w:t xml:space="preserve">être informé de </w:t>
      </w:r>
      <w:r w:rsidRPr="00AD464F">
        <w:t>prendre la dose suivante à l</w:t>
      </w:r>
      <w:r w:rsidR="008767A8">
        <w:t>’</w:t>
      </w:r>
      <w:r w:rsidRPr="00AD464F">
        <w:t>heure prévue</w:t>
      </w:r>
      <w:r w:rsidR="007F48DF">
        <w:t> ;</w:t>
      </w:r>
      <w:r w:rsidRPr="00AD464F">
        <w:t xml:space="preserve"> </w:t>
      </w:r>
      <w:r w:rsidR="007F48DF">
        <w:t>l</w:t>
      </w:r>
      <w:r w:rsidRPr="00AD464F">
        <w:t xml:space="preserve">e patient ne doit pas prendre de dose supplémentaire. En cas de vomissements, </w:t>
      </w:r>
      <w:r w:rsidR="00282EA1">
        <w:t>le patient ne doit pas</w:t>
      </w:r>
      <w:r w:rsidRPr="00AD464F">
        <w:t xml:space="preserve"> prendre de dose supplémentaire </w:t>
      </w:r>
      <w:r w:rsidR="00282EA1">
        <w:t>mais</w:t>
      </w:r>
      <w:r w:rsidRPr="00AD464F">
        <w:t xml:space="preserve"> poursuivre le traitement avec la prochaine dose prévue.</w:t>
      </w:r>
    </w:p>
    <w:p w14:paraId="6DD368C2" w14:textId="6266BD3B" w:rsidR="00185C0A" w:rsidRPr="00AD464F" w:rsidRDefault="00185C0A" w:rsidP="00204AAB">
      <w:pPr>
        <w:spacing w:line="240" w:lineRule="auto"/>
        <w:rPr>
          <w:szCs w:val="22"/>
        </w:rPr>
      </w:pPr>
    </w:p>
    <w:p w14:paraId="1A7669DC" w14:textId="0853C1D1" w:rsidR="00185C0A" w:rsidRPr="00AD464F" w:rsidRDefault="00DE3B71" w:rsidP="009377E5">
      <w:pPr>
        <w:keepNext/>
        <w:spacing w:line="240" w:lineRule="auto"/>
        <w:rPr>
          <w:i/>
          <w:szCs w:val="22"/>
        </w:rPr>
      </w:pPr>
      <w:r w:rsidRPr="00AD464F">
        <w:rPr>
          <w:i/>
          <w:u w:val="single"/>
        </w:rPr>
        <w:t>Populations particulières</w:t>
      </w:r>
    </w:p>
    <w:p w14:paraId="103F2F38" w14:textId="2FB88C17" w:rsidR="00DE3B71" w:rsidRPr="00AD464F" w:rsidRDefault="00DE3B71" w:rsidP="009377E5">
      <w:pPr>
        <w:keepNext/>
        <w:spacing w:line="240" w:lineRule="auto"/>
        <w:rPr>
          <w:szCs w:val="22"/>
        </w:rPr>
      </w:pPr>
    </w:p>
    <w:p w14:paraId="31273938" w14:textId="7AD0D284" w:rsidR="00B46E78" w:rsidRPr="00AD464F" w:rsidRDefault="00173716" w:rsidP="009377E5">
      <w:pPr>
        <w:keepNext/>
        <w:spacing w:line="240" w:lineRule="auto"/>
        <w:rPr>
          <w:i/>
          <w:iCs/>
          <w:szCs w:val="22"/>
          <w:u w:val="single"/>
        </w:rPr>
      </w:pPr>
      <w:r>
        <w:rPr>
          <w:i/>
        </w:rPr>
        <w:t>Sujets</w:t>
      </w:r>
      <w:r w:rsidR="00DE3B71" w:rsidRPr="00AD464F">
        <w:rPr>
          <w:i/>
        </w:rPr>
        <w:t xml:space="preserve"> âgés</w:t>
      </w:r>
    </w:p>
    <w:p w14:paraId="324BC633" w14:textId="2011840D" w:rsidR="00DE3B71" w:rsidRPr="00AD464F" w:rsidRDefault="00DE3B71" w:rsidP="00DE3B71">
      <w:pPr>
        <w:keepNext/>
        <w:spacing w:line="240" w:lineRule="auto"/>
        <w:rPr>
          <w:bCs/>
          <w:iCs/>
          <w:szCs w:val="22"/>
        </w:rPr>
      </w:pPr>
      <w:r w:rsidRPr="00AD464F">
        <w:t>Aucune adaptation posologique n</w:t>
      </w:r>
      <w:r w:rsidR="00DB37DC">
        <w:t>’</w:t>
      </w:r>
      <w:r w:rsidRPr="00AD464F">
        <w:t xml:space="preserve">est </w:t>
      </w:r>
      <w:r w:rsidR="00893A23">
        <w:t>nécessaire</w:t>
      </w:r>
      <w:r w:rsidR="00893A23" w:rsidRPr="00AD464F">
        <w:t xml:space="preserve"> </w:t>
      </w:r>
      <w:r w:rsidRPr="00AD464F">
        <w:t>en fonction de l</w:t>
      </w:r>
      <w:r w:rsidR="00DB37DC">
        <w:t>’</w:t>
      </w:r>
      <w:r w:rsidRPr="00AD464F">
        <w:t>âge (voir rubrique</w:t>
      </w:r>
      <w:r w:rsidR="00152CE9">
        <w:t> </w:t>
      </w:r>
      <w:r w:rsidRPr="00AD464F">
        <w:t>5.2).</w:t>
      </w:r>
    </w:p>
    <w:p w14:paraId="57DA442B" w14:textId="6B760A66" w:rsidR="00DE3B71" w:rsidRPr="00AD464F" w:rsidRDefault="00DE3B71" w:rsidP="009377E5">
      <w:pPr>
        <w:spacing w:line="240" w:lineRule="auto"/>
        <w:rPr>
          <w:bCs/>
          <w:iCs/>
          <w:szCs w:val="22"/>
        </w:rPr>
      </w:pPr>
    </w:p>
    <w:p w14:paraId="2CF9E292" w14:textId="4BED01D3" w:rsidR="00B46E78" w:rsidRPr="00AD464F" w:rsidRDefault="00DE3B71" w:rsidP="00DE3B71">
      <w:pPr>
        <w:keepNext/>
        <w:spacing w:line="240" w:lineRule="auto"/>
        <w:rPr>
          <w:bCs/>
          <w:iCs/>
          <w:szCs w:val="22"/>
          <w:u w:val="single"/>
        </w:rPr>
      </w:pPr>
      <w:r w:rsidRPr="00AD464F">
        <w:rPr>
          <w:i/>
        </w:rPr>
        <w:t>Insuffisance rénale</w:t>
      </w:r>
    </w:p>
    <w:p w14:paraId="262F9334" w14:textId="73ED65A7" w:rsidR="00DE3B71" w:rsidRPr="00AD464F" w:rsidRDefault="005A773C" w:rsidP="00DE3B71">
      <w:pPr>
        <w:keepNext/>
        <w:spacing w:line="240" w:lineRule="auto"/>
        <w:rPr>
          <w:bCs/>
          <w:iCs/>
          <w:szCs w:val="22"/>
        </w:rPr>
      </w:pPr>
      <w:r w:rsidRPr="00AD464F">
        <w:t>Aucune adaptation posologique n</w:t>
      </w:r>
      <w:r w:rsidR="00DB37DC">
        <w:t>’</w:t>
      </w:r>
      <w:r w:rsidRPr="00AD464F">
        <w:t>est nécessaire chez les patients présentant une insuffisance rénale légère, modérée ou sévère. Il n</w:t>
      </w:r>
      <w:r w:rsidR="00DB37DC">
        <w:t>’</w:t>
      </w:r>
      <w:r w:rsidRPr="00AD464F">
        <w:t>existe pas de données chez les patients sous dialyse (voir rubrique</w:t>
      </w:r>
      <w:r w:rsidR="00152CE9">
        <w:t> </w:t>
      </w:r>
      <w:r w:rsidRPr="00AD464F">
        <w:t>5.2).</w:t>
      </w:r>
    </w:p>
    <w:p w14:paraId="41DD65D9" w14:textId="65992001" w:rsidR="00ED483C" w:rsidRPr="00AD464F" w:rsidRDefault="00ED483C" w:rsidP="00DE3B71">
      <w:pPr>
        <w:keepNext/>
        <w:spacing w:line="240" w:lineRule="auto"/>
        <w:rPr>
          <w:bCs/>
          <w:iCs/>
          <w:szCs w:val="22"/>
        </w:rPr>
      </w:pPr>
    </w:p>
    <w:p w14:paraId="1B683139" w14:textId="4704A2ED" w:rsidR="00B46E78" w:rsidRPr="00AD464F" w:rsidRDefault="00ED483C" w:rsidP="00DE3B71">
      <w:pPr>
        <w:keepNext/>
        <w:spacing w:line="240" w:lineRule="auto"/>
        <w:rPr>
          <w:bCs/>
          <w:iCs/>
          <w:szCs w:val="22"/>
          <w:u w:val="single"/>
        </w:rPr>
      </w:pPr>
      <w:r w:rsidRPr="00AD464F">
        <w:rPr>
          <w:i/>
        </w:rPr>
        <w:t>Insuffisance hépatique</w:t>
      </w:r>
    </w:p>
    <w:p w14:paraId="4583A8EA" w14:textId="7561A270" w:rsidR="00DE3B71" w:rsidRPr="00AD464F" w:rsidRDefault="00ED483C" w:rsidP="00DE3B71">
      <w:pPr>
        <w:keepNext/>
        <w:spacing w:line="240" w:lineRule="auto"/>
        <w:rPr>
          <w:bCs/>
          <w:iCs/>
          <w:szCs w:val="22"/>
        </w:rPr>
      </w:pPr>
      <w:r w:rsidRPr="00AD464F">
        <w:t>Aucune adaptation posologique n</w:t>
      </w:r>
      <w:r w:rsidR="00DB37DC">
        <w:t>’</w:t>
      </w:r>
      <w:r w:rsidRPr="00AD464F">
        <w:t>est nécessaire chez les patients présentant une insuffisance hépatique légère, modérée ou sévère (voir rubrique</w:t>
      </w:r>
      <w:r w:rsidR="00152CE9">
        <w:t> </w:t>
      </w:r>
      <w:r w:rsidRPr="00AD464F">
        <w:t>5.2).</w:t>
      </w:r>
    </w:p>
    <w:p w14:paraId="4ED72518" w14:textId="77777777" w:rsidR="00185C0A" w:rsidRPr="00AD464F" w:rsidRDefault="00185C0A" w:rsidP="00204AAB">
      <w:pPr>
        <w:spacing w:line="240" w:lineRule="auto"/>
        <w:rPr>
          <w:szCs w:val="22"/>
        </w:rPr>
      </w:pPr>
    </w:p>
    <w:p w14:paraId="47FB7A78" w14:textId="38A2D020" w:rsidR="00B46E78" w:rsidRPr="00AD464F" w:rsidRDefault="00617FEB" w:rsidP="009377E5">
      <w:pPr>
        <w:keepNext/>
        <w:spacing w:line="240" w:lineRule="auto"/>
        <w:rPr>
          <w:bCs/>
          <w:i/>
          <w:iCs/>
          <w:szCs w:val="22"/>
          <w:u w:val="single"/>
        </w:rPr>
      </w:pPr>
      <w:r w:rsidRPr="00AD464F">
        <w:rPr>
          <w:i/>
        </w:rPr>
        <w:lastRenderedPageBreak/>
        <w:t>Population pédiatrique</w:t>
      </w:r>
    </w:p>
    <w:p w14:paraId="7E018B19" w14:textId="6B379337" w:rsidR="004F2D93" w:rsidRPr="00AD464F" w:rsidRDefault="00116E15" w:rsidP="009377E5">
      <w:pPr>
        <w:keepNext/>
        <w:spacing w:line="240" w:lineRule="auto"/>
        <w:rPr>
          <w:szCs w:val="22"/>
        </w:rPr>
      </w:pPr>
      <w:r w:rsidRPr="00AD464F">
        <w:t xml:space="preserve">La sécurité et l’efficacité de Jaypirca chez les enfants et les adolescents âgés de </w:t>
      </w:r>
      <w:r w:rsidR="00DC6EF6">
        <w:t>moins de</w:t>
      </w:r>
      <w:r w:rsidRPr="00AD464F">
        <w:t xml:space="preserve"> 18 ans n’ont pas été établies. Aucune donnée n’est disponible.</w:t>
      </w:r>
    </w:p>
    <w:p w14:paraId="79531E57" w14:textId="2D24F617" w:rsidR="009921E6" w:rsidRPr="00AD464F" w:rsidRDefault="00116E15" w:rsidP="00204AAB">
      <w:pPr>
        <w:spacing w:line="240" w:lineRule="auto"/>
        <w:rPr>
          <w:szCs w:val="22"/>
          <w:u w:val="single"/>
        </w:rPr>
      </w:pPr>
      <w:r w:rsidRPr="00AD464F">
        <w:t xml:space="preserve"> </w:t>
      </w:r>
    </w:p>
    <w:p w14:paraId="04BFEDDD" w14:textId="77777777" w:rsidR="00812D16" w:rsidRPr="00AD464F" w:rsidRDefault="00617FEB" w:rsidP="009377E5">
      <w:pPr>
        <w:keepNext/>
        <w:spacing w:line="240" w:lineRule="auto"/>
        <w:rPr>
          <w:szCs w:val="22"/>
          <w:u w:val="single"/>
        </w:rPr>
      </w:pPr>
      <w:r w:rsidRPr="00AD464F">
        <w:rPr>
          <w:u w:val="single"/>
        </w:rPr>
        <w:t xml:space="preserve">Mode d’administration </w:t>
      </w:r>
    </w:p>
    <w:p w14:paraId="5214ED4F" w14:textId="77777777" w:rsidR="00812D16" w:rsidRPr="00AD464F" w:rsidRDefault="00812D16" w:rsidP="009377E5">
      <w:pPr>
        <w:keepNext/>
        <w:spacing w:line="240" w:lineRule="auto"/>
        <w:rPr>
          <w:szCs w:val="22"/>
          <w:u w:val="single"/>
        </w:rPr>
      </w:pPr>
    </w:p>
    <w:p w14:paraId="15702596" w14:textId="18D3CF38" w:rsidR="00025972" w:rsidRPr="00AD464F" w:rsidRDefault="00E619E1" w:rsidP="009377E5">
      <w:pPr>
        <w:keepNext/>
        <w:spacing w:line="240" w:lineRule="auto"/>
        <w:rPr>
          <w:szCs w:val="22"/>
        </w:rPr>
      </w:pPr>
      <w:r w:rsidRPr="00AD464F">
        <w:t>Jaypirca</w:t>
      </w:r>
      <w:r w:rsidRPr="00AD464F">
        <w:rPr>
          <w:color w:val="008000"/>
        </w:rPr>
        <w:t xml:space="preserve"> </w:t>
      </w:r>
      <w:r w:rsidR="00152CE9">
        <w:t>est à prendre</w:t>
      </w:r>
      <w:r w:rsidR="004E4B2B">
        <w:t xml:space="preserve"> par voie</w:t>
      </w:r>
      <w:r w:rsidRPr="00AD464F">
        <w:t xml:space="preserve"> oral</w:t>
      </w:r>
      <w:r w:rsidR="004E4B2B">
        <w:t>e</w:t>
      </w:r>
      <w:r w:rsidRPr="00AD464F">
        <w:t>.</w:t>
      </w:r>
    </w:p>
    <w:p w14:paraId="4B4000D6" w14:textId="77777777" w:rsidR="00025972" w:rsidRPr="00AD464F" w:rsidRDefault="00025972" w:rsidP="00204AAB">
      <w:pPr>
        <w:spacing w:line="240" w:lineRule="auto"/>
        <w:rPr>
          <w:szCs w:val="22"/>
        </w:rPr>
      </w:pPr>
    </w:p>
    <w:p w14:paraId="39BD20DD" w14:textId="726DEC31" w:rsidR="00152CE9" w:rsidRDefault="00025972" w:rsidP="00025972">
      <w:pPr>
        <w:spacing w:line="240" w:lineRule="auto"/>
      </w:pPr>
      <w:r w:rsidRPr="00AD464F">
        <w:t>Le comprimé doit être</w:t>
      </w:r>
      <w:r w:rsidR="006A06F7">
        <w:t xml:space="preserve"> </w:t>
      </w:r>
      <w:r w:rsidR="00152CE9">
        <w:t xml:space="preserve">avalé en entier </w:t>
      </w:r>
      <w:r w:rsidR="006A06F7">
        <w:t xml:space="preserve">avec un verre d’eau </w:t>
      </w:r>
      <w:r w:rsidRPr="00AD464F">
        <w:t xml:space="preserve">pour </w:t>
      </w:r>
      <w:r w:rsidR="00D14171">
        <w:t>assurer</w:t>
      </w:r>
      <w:r w:rsidRPr="00AD464F">
        <w:t xml:space="preserve"> une action constante (les patients ne doivent pas mâcher, écraser ou </w:t>
      </w:r>
      <w:r w:rsidR="000B074D">
        <w:t>couper</w:t>
      </w:r>
      <w:r w:rsidRPr="00AD464F">
        <w:t xml:space="preserve"> les comprimés avant de les avaler) et peut être pris avec ou sans </w:t>
      </w:r>
      <w:r w:rsidR="000B074D">
        <w:t>nourriture</w:t>
      </w:r>
      <w:r w:rsidRPr="00AD464F">
        <w:t>. Les patients doivent prendre la dose approximativement à la même heure chaque jour.</w:t>
      </w:r>
    </w:p>
    <w:p w14:paraId="71190771" w14:textId="77777777" w:rsidR="00812D16" w:rsidRPr="00AD464F" w:rsidRDefault="00812D16" w:rsidP="00204AAB">
      <w:pPr>
        <w:spacing w:line="240" w:lineRule="auto"/>
        <w:rPr>
          <w:noProof/>
          <w:szCs w:val="22"/>
        </w:rPr>
      </w:pPr>
    </w:p>
    <w:p w14:paraId="3DEAF2EF" w14:textId="795CDB80" w:rsidR="00ED3090" w:rsidRPr="00B74A3B" w:rsidRDefault="00ED3090" w:rsidP="00ED3090">
      <w:pPr>
        <w:keepNext/>
        <w:spacing w:line="240" w:lineRule="auto"/>
        <w:ind w:left="567" w:hanging="567"/>
        <w:outlineLvl w:val="0"/>
        <w:rPr>
          <w:noProof/>
        </w:rPr>
      </w:pPr>
      <w:r w:rsidRPr="00B74A3B">
        <w:rPr>
          <w:b/>
        </w:rPr>
        <w:t>4.3</w:t>
      </w:r>
      <w:r w:rsidRPr="00B74A3B">
        <w:rPr>
          <w:b/>
        </w:rPr>
        <w:tab/>
        <w:t>Contre-indications</w:t>
      </w:r>
      <w:r w:rsidR="00D944F9">
        <w:rPr>
          <w:b/>
        </w:rPr>
        <w:fldChar w:fldCharType="begin"/>
      </w:r>
      <w:r w:rsidR="00D944F9">
        <w:rPr>
          <w:b/>
        </w:rPr>
        <w:instrText xml:space="preserve"> DOCVARIABLE vault_nd_f621e921-4ab0-4e20-88b1-d643d9672bf2 \* MERGEFORMAT </w:instrText>
      </w:r>
      <w:r w:rsidR="00D944F9">
        <w:rPr>
          <w:b/>
        </w:rPr>
        <w:fldChar w:fldCharType="separate"/>
      </w:r>
      <w:r w:rsidR="00D944F9">
        <w:rPr>
          <w:b/>
        </w:rPr>
        <w:t xml:space="preserve"> </w:t>
      </w:r>
      <w:r w:rsidR="00D944F9">
        <w:rPr>
          <w:b/>
        </w:rPr>
        <w:fldChar w:fldCharType="end"/>
      </w:r>
    </w:p>
    <w:p w14:paraId="79768BAB" w14:textId="77777777" w:rsidR="00ED3090" w:rsidRPr="00B74A3B" w:rsidRDefault="00ED3090" w:rsidP="00ED3090">
      <w:pPr>
        <w:keepNext/>
        <w:spacing w:line="240" w:lineRule="auto"/>
        <w:rPr>
          <w:noProof/>
        </w:rPr>
      </w:pPr>
    </w:p>
    <w:p w14:paraId="53D91EF3" w14:textId="77777777" w:rsidR="00ED3090" w:rsidRPr="00B74A3B" w:rsidRDefault="00ED3090" w:rsidP="00ED3090">
      <w:pPr>
        <w:spacing w:line="240" w:lineRule="auto"/>
        <w:rPr>
          <w:noProof/>
        </w:rPr>
      </w:pPr>
      <w:r w:rsidRPr="00B74A3B">
        <w:t>Hypersensibilité à la substance active ou à l’un des excipients mentionnés à la rubrique 6.1.</w:t>
      </w:r>
    </w:p>
    <w:p w14:paraId="4B85259F" w14:textId="77777777" w:rsidR="00ED3090" w:rsidRPr="00B74A3B" w:rsidRDefault="00ED3090" w:rsidP="00ED3090">
      <w:pPr>
        <w:spacing w:line="240" w:lineRule="auto"/>
        <w:rPr>
          <w:noProof/>
        </w:rPr>
      </w:pPr>
    </w:p>
    <w:p w14:paraId="4E011A54" w14:textId="45D61C16" w:rsidR="00ED3090" w:rsidRPr="00B74A3B" w:rsidRDefault="00ED3090" w:rsidP="00ED3090">
      <w:pPr>
        <w:keepNext/>
        <w:spacing w:line="240" w:lineRule="auto"/>
        <w:ind w:left="567" w:hanging="567"/>
        <w:outlineLvl w:val="0"/>
        <w:rPr>
          <w:b/>
          <w:noProof/>
        </w:rPr>
      </w:pPr>
      <w:r w:rsidRPr="00B74A3B">
        <w:rPr>
          <w:b/>
        </w:rPr>
        <w:t>4.4</w:t>
      </w:r>
      <w:r w:rsidRPr="00B74A3B">
        <w:rPr>
          <w:b/>
        </w:rPr>
        <w:tab/>
        <w:t>Mises en garde spéciales et précautions d’emploi</w:t>
      </w:r>
      <w:r w:rsidR="00D944F9">
        <w:rPr>
          <w:b/>
        </w:rPr>
        <w:fldChar w:fldCharType="begin"/>
      </w:r>
      <w:r w:rsidR="00D944F9">
        <w:rPr>
          <w:b/>
        </w:rPr>
        <w:instrText xml:space="preserve"> DOCVARIABLE vault_nd_aaf2cae8-084e-4677-a976-50c5f69248ab \* MERGEFORMAT </w:instrText>
      </w:r>
      <w:r w:rsidR="00D944F9">
        <w:rPr>
          <w:b/>
        </w:rPr>
        <w:fldChar w:fldCharType="separate"/>
      </w:r>
      <w:r w:rsidR="00D944F9">
        <w:rPr>
          <w:b/>
        </w:rPr>
        <w:t xml:space="preserve"> </w:t>
      </w:r>
      <w:r w:rsidR="00D944F9">
        <w:rPr>
          <w:b/>
        </w:rPr>
        <w:fldChar w:fldCharType="end"/>
      </w:r>
    </w:p>
    <w:p w14:paraId="5FA88006" w14:textId="77777777" w:rsidR="00812D16" w:rsidRPr="00ED3090" w:rsidRDefault="00812D16" w:rsidP="009377E5">
      <w:pPr>
        <w:keepNext/>
        <w:spacing w:line="240" w:lineRule="auto"/>
        <w:ind w:left="567" w:hanging="567"/>
        <w:rPr>
          <w:b/>
          <w:noProof/>
          <w:szCs w:val="22"/>
        </w:rPr>
      </w:pPr>
    </w:p>
    <w:p w14:paraId="5A158DDD" w14:textId="77777777" w:rsidR="0046216D" w:rsidRPr="00AD464F" w:rsidRDefault="0046216D" w:rsidP="009377E5">
      <w:pPr>
        <w:keepNext/>
        <w:tabs>
          <w:tab w:val="clear" w:pos="567"/>
        </w:tabs>
        <w:spacing w:line="240" w:lineRule="auto"/>
        <w:rPr>
          <w:noProof/>
          <w:u w:val="single"/>
        </w:rPr>
      </w:pPr>
      <w:r w:rsidRPr="00AD464F">
        <w:rPr>
          <w:u w:val="single"/>
        </w:rPr>
        <w:t>Infections</w:t>
      </w:r>
      <w:r w:rsidRPr="00AD464F">
        <w:rPr>
          <w:u w:val="single"/>
        </w:rPr>
        <w:br/>
      </w:r>
    </w:p>
    <w:p w14:paraId="07F04E20" w14:textId="3890BABA" w:rsidR="0046216D" w:rsidRPr="00AD464F" w:rsidRDefault="0046216D" w:rsidP="009377E5">
      <w:pPr>
        <w:keepNext/>
        <w:tabs>
          <w:tab w:val="clear" w:pos="567"/>
        </w:tabs>
        <w:spacing w:line="240" w:lineRule="auto"/>
      </w:pPr>
      <w:r w:rsidRPr="00AD464F">
        <w:t xml:space="preserve">Des infections graves, y compris </w:t>
      </w:r>
      <w:r w:rsidR="00402F99">
        <w:t>d’issue fatale</w:t>
      </w:r>
      <w:r w:rsidRPr="00AD464F">
        <w:t>, sont survenues chez des patients traités par Jaypirca. Les infections de grade</w:t>
      </w:r>
      <w:r w:rsidR="00152CE9">
        <w:t> </w:t>
      </w:r>
      <w:r w:rsidRPr="00AD464F">
        <w:t xml:space="preserve">3 ou supérieur les plus fréquemment rapportées </w:t>
      </w:r>
      <w:r w:rsidR="00A41153">
        <w:t>étaient</w:t>
      </w:r>
      <w:r w:rsidRPr="00AD464F">
        <w:t xml:space="preserve"> pneumonie, pneumonie</w:t>
      </w:r>
      <w:r w:rsidR="001E48FF">
        <w:t xml:space="preserve"> à</w:t>
      </w:r>
      <w:r w:rsidRPr="00AD464F">
        <w:t xml:space="preserve"> COVID</w:t>
      </w:r>
      <w:r w:rsidRPr="00AD464F">
        <w:noBreakHyphen/>
        <w:t>19, COVID</w:t>
      </w:r>
      <w:r w:rsidRPr="00AD464F">
        <w:noBreakHyphen/>
        <w:t xml:space="preserve">19 et septicémie. </w:t>
      </w:r>
      <w:r w:rsidR="0015529E">
        <w:t xml:space="preserve">Un traitement </w:t>
      </w:r>
      <w:r w:rsidR="008976C1">
        <w:t>antimic</w:t>
      </w:r>
      <w:r w:rsidR="00451B65">
        <w:t>robien p</w:t>
      </w:r>
      <w:r w:rsidRPr="00AD464F">
        <w:t>rophyla</w:t>
      </w:r>
      <w:r w:rsidR="00451B65">
        <w:t>ctique</w:t>
      </w:r>
      <w:r w:rsidR="00F61868">
        <w:t xml:space="preserve"> doit être envisagé</w:t>
      </w:r>
      <w:r w:rsidRPr="00AD464F">
        <w:t xml:space="preserve"> chez les patients qui présentent un risque accru d</w:t>
      </w:r>
      <w:r w:rsidR="00DB37DC">
        <w:t>’</w:t>
      </w:r>
      <w:r w:rsidRPr="00AD464F">
        <w:t>infections opportunistes. Selon le grade de l</w:t>
      </w:r>
      <w:r w:rsidR="00DB37DC">
        <w:t>’</w:t>
      </w:r>
      <w:r w:rsidRPr="00AD464F">
        <w:t>infection et selon qu’elle s'accompagne ou non d</w:t>
      </w:r>
      <w:r w:rsidR="00DB37DC">
        <w:t>’</w:t>
      </w:r>
      <w:r w:rsidRPr="00AD464F">
        <w:t xml:space="preserve">une neutropénie, </w:t>
      </w:r>
      <w:r w:rsidR="00F61868">
        <w:t xml:space="preserve">l’interruption </w:t>
      </w:r>
      <w:r w:rsidR="00A0321D">
        <w:t>du traitement</w:t>
      </w:r>
      <w:r w:rsidRPr="00AD464F">
        <w:t xml:space="preserve"> peut être nécessaire (voir rubrique</w:t>
      </w:r>
      <w:r w:rsidR="00152CE9">
        <w:t> </w:t>
      </w:r>
      <w:r w:rsidRPr="00AD464F">
        <w:t xml:space="preserve">4.2). </w:t>
      </w:r>
    </w:p>
    <w:p w14:paraId="6101D2AF" w14:textId="77777777" w:rsidR="0046216D" w:rsidRPr="00AD464F" w:rsidRDefault="0046216D" w:rsidP="00CC6C01">
      <w:pPr>
        <w:tabs>
          <w:tab w:val="clear" w:pos="567"/>
        </w:tabs>
        <w:spacing w:line="240" w:lineRule="auto"/>
        <w:rPr>
          <w:u w:val="single"/>
          <w:lang w:eastAsia="ja-JP"/>
        </w:rPr>
      </w:pPr>
    </w:p>
    <w:p w14:paraId="3C37795C" w14:textId="5F0789EC" w:rsidR="00CC6C01" w:rsidRPr="00AD464F" w:rsidRDefault="0046216D" w:rsidP="009377E5">
      <w:pPr>
        <w:keepNext/>
        <w:tabs>
          <w:tab w:val="clear" w:pos="567"/>
        </w:tabs>
        <w:spacing w:line="240" w:lineRule="auto"/>
        <w:rPr>
          <w:noProof/>
          <w:u w:val="single"/>
        </w:rPr>
      </w:pPr>
      <w:r w:rsidRPr="00AD464F">
        <w:rPr>
          <w:u w:val="single"/>
        </w:rPr>
        <w:t>Hémorragie</w:t>
      </w:r>
      <w:r w:rsidRPr="00AD464F">
        <w:rPr>
          <w:u w:val="single"/>
        </w:rPr>
        <w:br/>
      </w:r>
    </w:p>
    <w:p w14:paraId="2DF8AC4A" w14:textId="10769B20" w:rsidR="0008436B" w:rsidRPr="00AD464F" w:rsidRDefault="00E14A32" w:rsidP="0008436B">
      <w:pPr>
        <w:tabs>
          <w:tab w:val="clear" w:pos="567"/>
        </w:tabs>
        <w:spacing w:line="240" w:lineRule="auto"/>
      </w:pPr>
      <w:r w:rsidRPr="00AD464F">
        <w:t xml:space="preserve">Des </w:t>
      </w:r>
      <w:r w:rsidR="0021388B">
        <w:t>saignements</w:t>
      </w:r>
      <w:r w:rsidRPr="00AD464F">
        <w:t>, y compris d</w:t>
      </w:r>
      <w:r w:rsidR="009954E3">
        <w:t>’issue fatale</w:t>
      </w:r>
      <w:r w:rsidRPr="00AD464F">
        <w:t xml:space="preserve">, sont survenus chez des patients traités par Jaypirca, avec ou sans thrombocytopénie. Des </w:t>
      </w:r>
      <w:r w:rsidR="009954E3">
        <w:t>saignements</w:t>
      </w:r>
      <w:r w:rsidRPr="00AD464F">
        <w:t xml:space="preserve"> majeurs de grade</w:t>
      </w:r>
      <w:r w:rsidR="00D830AF">
        <w:t> </w:t>
      </w:r>
      <w:r w:rsidRPr="00AD464F">
        <w:t>3 ou supérieur, y compris des saignements gastro-intestinaux et des hémorragies intracrâniennes, ont été observés. Les patients doivent être surveillés afin de déceler tout signe et symptôme de saignement. Les patients sous anticoagulants ou agents antiplaquettaires peuvent présenter un risque accru d</w:t>
      </w:r>
      <w:r w:rsidR="00DB37DC">
        <w:t>’</w:t>
      </w:r>
      <w:r w:rsidRPr="00AD464F">
        <w:t xml:space="preserve">hémorragie. </w:t>
      </w:r>
      <w:r w:rsidR="00EE106C">
        <w:t>L</w:t>
      </w:r>
      <w:r w:rsidRPr="00AD464F">
        <w:t>es risques et les bénéfices d'un traitement anticoagulant ou antiplaquettaire</w:t>
      </w:r>
      <w:r w:rsidR="00EE106C">
        <w:t xml:space="preserve"> doivent être évalués</w:t>
      </w:r>
      <w:r w:rsidRPr="00AD464F">
        <w:t xml:space="preserve"> lorsqu’il est co</w:t>
      </w:r>
      <w:r w:rsidRPr="00AD464F">
        <w:noBreakHyphen/>
        <w:t xml:space="preserve">administré avec Jaypirca </w:t>
      </w:r>
      <w:r w:rsidR="00D830AF">
        <w:t>;</w:t>
      </w:r>
      <w:r w:rsidRPr="00AD464F">
        <w:t xml:space="preserve"> envisager une surveillance supplémentaire des signes de saignement. L</w:t>
      </w:r>
      <w:r w:rsidR="00644A8E">
        <w:t>’</w:t>
      </w:r>
      <w:r w:rsidRPr="00AD464F">
        <w:t>utilisation de Jaypirca n'a pas été étudiée avec la warfarine ou d</w:t>
      </w:r>
      <w:r w:rsidR="00644A8E">
        <w:t>’</w:t>
      </w:r>
      <w:r w:rsidRPr="00AD464F">
        <w:t>autres antagonistes de la vitamine</w:t>
      </w:r>
      <w:r w:rsidR="00871FF8">
        <w:t> </w:t>
      </w:r>
      <w:r w:rsidRPr="00AD464F">
        <w:t>K.</w:t>
      </w:r>
      <w:bookmarkStart w:id="1" w:name="_Hlk120795171"/>
    </w:p>
    <w:p w14:paraId="69BA2268" w14:textId="6DC469E0" w:rsidR="006C475A" w:rsidRPr="00AD464F" w:rsidRDefault="0085276A" w:rsidP="009377E5">
      <w:pPr>
        <w:keepNext/>
        <w:tabs>
          <w:tab w:val="clear" w:pos="567"/>
        </w:tabs>
        <w:spacing w:line="240" w:lineRule="auto"/>
      </w:pPr>
      <w:r w:rsidRPr="00AD464F">
        <w:t xml:space="preserve">Une </w:t>
      </w:r>
      <w:r w:rsidR="00295654">
        <w:t xml:space="preserve">interruption </w:t>
      </w:r>
      <w:r w:rsidR="00FC0D6F">
        <w:t>du traitement</w:t>
      </w:r>
      <w:r w:rsidRPr="00AD464F">
        <w:t xml:space="preserve"> peut être nécessaire pour les </w:t>
      </w:r>
      <w:bookmarkEnd w:id="1"/>
      <w:r w:rsidR="00756565">
        <w:t>saignements</w:t>
      </w:r>
      <w:r w:rsidRPr="00AD464F">
        <w:t xml:space="preserve"> de grade</w:t>
      </w:r>
      <w:r w:rsidR="00D830AF">
        <w:t> </w:t>
      </w:r>
      <w:r w:rsidRPr="00AD464F">
        <w:t>3 ou 4 (voir rubrique</w:t>
      </w:r>
      <w:r w:rsidR="00D830AF">
        <w:t> </w:t>
      </w:r>
      <w:r w:rsidRPr="00AD464F">
        <w:t xml:space="preserve">4.2). </w:t>
      </w:r>
    </w:p>
    <w:p w14:paraId="1DD1C67B" w14:textId="39D42539" w:rsidR="006C475A" w:rsidRPr="00AD464F" w:rsidRDefault="006C475A" w:rsidP="00CC6C01">
      <w:pPr>
        <w:tabs>
          <w:tab w:val="clear" w:pos="567"/>
        </w:tabs>
        <w:spacing w:line="240" w:lineRule="auto"/>
      </w:pPr>
    </w:p>
    <w:p w14:paraId="1D6C1763" w14:textId="56B02CD9" w:rsidR="00CC6C01" w:rsidRPr="00AD464F" w:rsidRDefault="00295654" w:rsidP="00CC6C01">
      <w:pPr>
        <w:tabs>
          <w:tab w:val="clear" w:pos="567"/>
        </w:tabs>
        <w:spacing w:line="240" w:lineRule="auto"/>
      </w:pPr>
      <w:r>
        <w:t>L</w:t>
      </w:r>
      <w:r w:rsidR="0046216D" w:rsidRPr="00AD464F">
        <w:t>e rapport bénéfice</w:t>
      </w:r>
      <w:r w:rsidR="0046216D" w:rsidRPr="00AD464F">
        <w:noBreakHyphen/>
        <w:t>risque d’un</w:t>
      </w:r>
      <w:r w:rsidR="001647CD">
        <w:t>e</w:t>
      </w:r>
      <w:r w:rsidR="0046216D" w:rsidRPr="00AD464F">
        <w:t xml:space="preserve"> </w:t>
      </w:r>
      <w:r w:rsidR="001647CD">
        <w:t>interruption</w:t>
      </w:r>
      <w:r w:rsidR="001647CD" w:rsidRPr="00AD464F">
        <w:t xml:space="preserve"> </w:t>
      </w:r>
      <w:r w:rsidR="0046216D" w:rsidRPr="00AD464F">
        <w:t>du traitement par Jaypirca pendant 3 à 5</w:t>
      </w:r>
      <w:r w:rsidR="00D03297">
        <w:t> </w:t>
      </w:r>
      <w:r w:rsidR="0046216D" w:rsidRPr="00AD464F">
        <w:t xml:space="preserve">jours avant et après une intervention chirurgicale </w:t>
      </w:r>
      <w:r w:rsidR="00230287">
        <w:t xml:space="preserve">doit être évalué </w:t>
      </w:r>
      <w:r w:rsidR="0046216D" w:rsidRPr="00AD464F">
        <w:t xml:space="preserve">en fonction du type d’intervention et du risque de saignement. </w:t>
      </w:r>
    </w:p>
    <w:p w14:paraId="1D4D1232" w14:textId="33052B05" w:rsidR="00CC6C01" w:rsidRPr="00AD464F" w:rsidRDefault="00CC6C01" w:rsidP="00CC6C01">
      <w:pPr>
        <w:tabs>
          <w:tab w:val="clear" w:pos="567"/>
        </w:tabs>
        <w:spacing w:line="240" w:lineRule="auto"/>
      </w:pPr>
    </w:p>
    <w:p w14:paraId="111C7D13" w14:textId="5976985E" w:rsidR="0046216D" w:rsidRPr="00AD464F" w:rsidRDefault="0046216D" w:rsidP="009377E5">
      <w:pPr>
        <w:keepNext/>
        <w:tabs>
          <w:tab w:val="clear" w:pos="567"/>
        </w:tabs>
        <w:spacing w:line="240" w:lineRule="auto"/>
        <w:rPr>
          <w:noProof/>
          <w:u w:val="single"/>
        </w:rPr>
      </w:pPr>
      <w:r w:rsidRPr="009C7E3C">
        <w:rPr>
          <w:u w:val="single"/>
        </w:rPr>
        <w:t>Cytopénies</w:t>
      </w:r>
      <w:r w:rsidRPr="00AD464F">
        <w:rPr>
          <w:u w:val="single"/>
        </w:rPr>
        <w:br/>
      </w:r>
    </w:p>
    <w:p w14:paraId="6B28EAD4" w14:textId="3129E6C1" w:rsidR="0046216D" w:rsidRPr="00AD464F" w:rsidRDefault="0046216D" w:rsidP="009377E5">
      <w:pPr>
        <w:keepNext/>
        <w:tabs>
          <w:tab w:val="clear" w:pos="567"/>
        </w:tabs>
        <w:spacing w:line="240" w:lineRule="auto"/>
        <w:rPr>
          <w:iCs/>
        </w:rPr>
      </w:pPr>
      <w:r w:rsidRPr="00AD464F">
        <w:t>Des cytopénies de grade</w:t>
      </w:r>
      <w:r w:rsidR="00D830AF">
        <w:t> </w:t>
      </w:r>
      <w:r w:rsidRPr="00AD464F">
        <w:t xml:space="preserve">3 ou 4, </w:t>
      </w:r>
      <w:r w:rsidR="009C7E3C">
        <w:t>y compris</w:t>
      </w:r>
      <w:r w:rsidR="006C59A3">
        <w:t xml:space="preserve"> des cas de</w:t>
      </w:r>
      <w:r w:rsidRPr="00AD464F">
        <w:t xml:space="preserve"> neutropénie, </w:t>
      </w:r>
      <w:r w:rsidR="00D830AF">
        <w:t>d’</w:t>
      </w:r>
      <w:r w:rsidRPr="00AD464F">
        <w:t xml:space="preserve">anémie et </w:t>
      </w:r>
      <w:r w:rsidR="00D830AF">
        <w:t xml:space="preserve">de </w:t>
      </w:r>
      <w:r w:rsidRPr="00AD464F">
        <w:t xml:space="preserve">thrombocytopénie, sont survenues chez des patients traités par Jaypirca. </w:t>
      </w:r>
      <w:r w:rsidR="00B1011B">
        <w:t>La</w:t>
      </w:r>
      <w:r w:rsidR="00B1011B" w:rsidRPr="00AD464F">
        <w:t xml:space="preserve"> </w:t>
      </w:r>
      <w:r w:rsidRPr="00AD464F">
        <w:t xml:space="preserve">numération formule sanguine </w:t>
      </w:r>
      <w:r w:rsidR="00665647">
        <w:t>complète</w:t>
      </w:r>
      <w:r w:rsidR="004F3635">
        <w:t xml:space="preserve"> doit être surveillée chez les patients</w:t>
      </w:r>
      <w:r w:rsidR="00665647">
        <w:t xml:space="preserve"> </w:t>
      </w:r>
      <w:r w:rsidR="00731DE8">
        <w:t>au cours du</w:t>
      </w:r>
      <w:r w:rsidRPr="00AD464F">
        <w:t xml:space="preserve"> traitement </w:t>
      </w:r>
      <w:r w:rsidR="00E95B23">
        <w:t>selon les indications cliniques</w:t>
      </w:r>
      <w:r w:rsidRPr="00AD464F">
        <w:t>. Selon le grade de la cytopénie, un</w:t>
      </w:r>
      <w:r w:rsidR="004F3635">
        <w:t xml:space="preserve">e interruption </w:t>
      </w:r>
      <w:r w:rsidR="00A0321D">
        <w:t>du traitement</w:t>
      </w:r>
      <w:r w:rsidRPr="00AD464F">
        <w:t xml:space="preserve"> peut être nécessaire (voir rubrique</w:t>
      </w:r>
      <w:r w:rsidR="00644A8E">
        <w:t> </w:t>
      </w:r>
      <w:r w:rsidRPr="00AD464F">
        <w:t xml:space="preserve">4.2). </w:t>
      </w:r>
    </w:p>
    <w:p w14:paraId="65365109" w14:textId="676E3FB7" w:rsidR="0046216D" w:rsidRPr="00AD464F" w:rsidRDefault="0046216D" w:rsidP="00CC6C01">
      <w:pPr>
        <w:tabs>
          <w:tab w:val="clear" w:pos="567"/>
        </w:tabs>
        <w:spacing w:line="240" w:lineRule="auto"/>
      </w:pPr>
    </w:p>
    <w:p w14:paraId="0D022304" w14:textId="241DA8E3" w:rsidR="00CC6C01" w:rsidRPr="00AD464F" w:rsidRDefault="006C475A" w:rsidP="009377E5">
      <w:pPr>
        <w:keepNext/>
        <w:tabs>
          <w:tab w:val="clear" w:pos="567"/>
        </w:tabs>
        <w:spacing w:line="240" w:lineRule="auto"/>
        <w:rPr>
          <w:u w:val="single"/>
        </w:rPr>
      </w:pPr>
      <w:r w:rsidRPr="00AD464F">
        <w:rPr>
          <w:u w:val="single"/>
        </w:rPr>
        <w:t>Fibrillation/flutter auriculaires</w:t>
      </w:r>
      <w:r w:rsidRPr="00AD464F">
        <w:rPr>
          <w:u w:val="single"/>
        </w:rPr>
        <w:br/>
      </w:r>
    </w:p>
    <w:p w14:paraId="45B8AE5F" w14:textId="4CB4A751" w:rsidR="00997EBA" w:rsidRPr="00AD464F" w:rsidRDefault="00997EBA" w:rsidP="006C475A">
      <w:pPr>
        <w:tabs>
          <w:tab w:val="clear" w:pos="567"/>
        </w:tabs>
        <w:spacing w:line="240" w:lineRule="auto"/>
      </w:pPr>
      <w:r w:rsidRPr="00AD464F">
        <w:t xml:space="preserve">Une fibrillation auriculaire et un flutter auriculaire ont été observés chez des patients traités par Jaypirca, en particulier chez des patients ayant des antécédents de fibrillation auriculaire et/ou plusieurs comorbidités cardiovasculaires. </w:t>
      </w:r>
      <w:r w:rsidR="004F3635">
        <w:t>L</w:t>
      </w:r>
      <w:r w:rsidRPr="00AD464F">
        <w:t xml:space="preserve">es signes et les symptômes de fibrillation auriculaire et de </w:t>
      </w:r>
      <w:r w:rsidRPr="00AD464F">
        <w:lastRenderedPageBreak/>
        <w:t>flutter auriculaire</w:t>
      </w:r>
      <w:r w:rsidR="004F3635">
        <w:t xml:space="preserve"> doivent être surveillés</w:t>
      </w:r>
      <w:r w:rsidR="007F1C3E">
        <w:t> ;</w:t>
      </w:r>
      <w:r w:rsidRPr="00AD464F">
        <w:t xml:space="preserve"> </w:t>
      </w:r>
      <w:r w:rsidR="00F61313">
        <w:t>effectuer</w:t>
      </w:r>
      <w:r w:rsidRPr="00AD464F">
        <w:t xml:space="preserve"> un électrocardiogramme </w:t>
      </w:r>
      <w:r w:rsidR="00893A23">
        <w:t>selon les indications cliniques</w:t>
      </w:r>
      <w:r w:rsidRPr="00AD464F">
        <w:t xml:space="preserve">. Selon le </w:t>
      </w:r>
      <w:r w:rsidR="008B1B71">
        <w:t>grade</w:t>
      </w:r>
      <w:r w:rsidRPr="00AD464F">
        <w:t xml:space="preserve"> de fibrillation auriculaire/flutter auriculaire, une </w:t>
      </w:r>
      <w:r w:rsidR="007F1C3E">
        <w:t xml:space="preserve">interruption </w:t>
      </w:r>
      <w:r w:rsidR="00A0321D">
        <w:t>du traitement</w:t>
      </w:r>
      <w:r w:rsidRPr="00AD464F">
        <w:t xml:space="preserve"> peut être nécessaire (voir rubrique</w:t>
      </w:r>
      <w:r w:rsidR="00644A8E">
        <w:t> </w:t>
      </w:r>
      <w:r w:rsidRPr="00AD464F">
        <w:t xml:space="preserve">4.2). </w:t>
      </w:r>
    </w:p>
    <w:p w14:paraId="23D412B6" w14:textId="79AA5192" w:rsidR="00064170" w:rsidRPr="00AD464F" w:rsidRDefault="00064170" w:rsidP="006C475A">
      <w:pPr>
        <w:tabs>
          <w:tab w:val="clear" w:pos="567"/>
        </w:tabs>
        <w:spacing w:line="240" w:lineRule="auto"/>
        <w:rPr>
          <w:lang w:eastAsia="ja-JP"/>
        </w:rPr>
      </w:pPr>
    </w:p>
    <w:p w14:paraId="003F2367" w14:textId="77777777" w:rsidR="00997EBA" w:rsidRPr="00AD464F" w:rsidRDefault="00997EBA" w:rsidP="009377E5">
      <w:pPr>
        <w:keepNext/>
        <w:tabs>
          <w:tab w:val="clear" w:pos="567"/>
        </w:tabs>
        <w:spacing w:line="240" w:lineRule="auto"/>
        <w:rPr>
          <w:u w:val="single"/>
        </w:rPr>
      </w:pPr>
      <w:r w:rsidRPr="00AD464F">
        <w:rPr>
          <w:u w:val="single"/>
        </w:rPr>
        <w:t>Seconds cancers primitifs</w:t>
      </w:r>
      <w:r w:rsidRPr="00AD464F">
        <w:rPr>
          <w:u w:val="single"/>
        </w:rPr>
        <w:br/>
      </w:r>
    </w:p>
    <w:p w14:paraId="1608457A" w14:textId="4983A4D1" w:rsidR="00997EBA" w:rsidRPr="00AD464F" w:rsidRDefault="009F6932" w:rsidP="009377E5">
      <w:pPr>
        <w:keepNext/>
        <w:tabs>
          <w:tab w:val="clear" w:pos="567"/>
        </w:tabs>
        <w:spacing w:line="240" w:lineRule="auto"/>
      </w:pPr>
      <w:r w:rsidRPr="00AD464F">
        <w:t xml:space="preserve">Des seconds cancers primitifs sont survenus </w:t>
      </w:r>
      <w:r w:rsidR="00740D2F">
        <w:t xml:space="preserve">fréquemment </w:t>
      </w:r>
      <w:r w:rsidRPr="00AD464F">
        <w:t>chez des patients traités par Jaypirca, les types les plus fréquents étant des cancers cutanés non</w:t>
      </w:r>
      <w:r w:rsidRPr="00AD464F">
        <w:noBreakHyphen/>
        <w:t>mélano</w:t>
      </w:r>
      <w:r w:rsidR="00194E13">
        <w:t>mateux</w:t>
      </w:r>
      <w:r w:rsidRPr="00AD464F">
        <w:t xml:space="preserve">. </w:t>
      </w:r>
      <w:r w:rsidR="00740D2F">
        <w:t>Les patients doivent être surveillés</w:t>
      </w:r>
      <w:r w:rsidRPr="00AD464F">
        <w:t xml:space="preserve"> pour déceler l'apparition de cancers cutanés et </w:t>
      </w:r>
      <w:r w:rsidR="00D00C3B">
        <w:t xml:space="preserve">il doit </w:t>
      </w:r>
      <w:r w:rsidRPr="00AD464F">
        <w:t xml:space="preserve">leur </w:t>
      </w:r>
      <w:r w:rsidR="00D00C3B">
        <w:t xml:space="preserve">être </w:t>
      </w:r>
      <w:r w:rsidRPr="00AD464F">
        <w:t>conseill</w:t>
      </w:r>
      <w:r w:rsidR="00D00C3B">
        <w:t xml:space="preserve">é </w:t>
      </w:r>
      <w:r w:rsidRPr="00AD464F">
        <w:t>de se protéger de l</w:t>
      </w:r>
      <w:r w:rsidR="00644A8E">
        <w:t>’</w:t>
      </w:r>
      <w:r w:rsidRPr="00AD464F">
        <w:t xml:space="preserve">exposition </w:t>
      </w:r>
      <w:r w:rsidR="002A6E67">
        <w:t>du</w:t>
      </w:r>
      <w:r w:rsidR="002A6E67" w:rsidRPr="00AD464F">
        <w:t xml:space="preserve"> </w:t>
      </w:r>
      <w:r w:rsidRPr="00AD464F">
        <w:t>soleil.</w:t>
      </w:r>
    </w:p>
    <w:p w14:paraId="39A2C233" w14:textId="3D464701" w:rsidR="00C857BF" w:rsidRDefault="00C857BF" w:rsidP="006C475A">
      <w:pPr>
        <w:tabs>
          <w:tab w:val="clear" w:pos="567"/>
        </w:tabs>
        <w:spacing w:line="240" w:lineRule="auto"/>
        <w:rPr>
          <w:lang w:eastAsia="ja-JP"/>
        </w:rPr>
      </w:pPr>
    </w:p>
    <w:p w14:paraId="4C1EC74E" w14:textId="671F1F57" w:rsidR="00F0129C" w:rsidRDefault="00F0129C" w:rsidP="00347837">
      <w:pPr>
        <w:keepNext/>
        <w:keepLines/>
        <w:tabs>
          <w:tab w:val="clear" w:pos="567"/>
        </w:tabs>
        <w:spacing w:line="240" w:lineRule="auto"/>
        <w:rPr>
          <w:lang w:eastAsia="ja-JP"/>
        </w:rPr>
      </w:pPr>
      <w:r>
        <w:rPr>
          <w:u w:val="single"/>
          <w:lang w:eastAsia="ja-JP"/>
        </w:rPr>
        <w:t>Syndrome de lyse tumorale</w:t>
      </w:r>
    </w:p>
    <w:p w14:paraId="4F556D5C" w14:textId="77777777" w:rsidR="00347837" w:rsidRDefault="00347837" w:rsidP="00347837">
      <w:pPr>
        <w:keepNext/>
        <w:keepLines/>
        <w:tabs>
          <w:tab w:val="clear" w:pos="567"/>
        </w:tabs>
        <w:spacing w:line="240" w:lineRule="auto"/>
        <w:rPr>
          <w:lang w:eastAsia="ja-JP"/>
        </w:rPr>
      </w:pPr>
    </w:p>
    <w:p w14:paraId="30024385" w14:textId="33E76689" w:rsidR="00F0129C" w:rsidRDefault="00F211FF" w:rsidP="00347837">
      <w:pPr>
        <w:keepNext/>
        <w:keepLines/>
        <w:tabs>
          <w:tab w:val="clear" w:pos="567"/>
        </w:tabs>
        <w:spacing w:line="240" w:lineRule="auto"/>
        <w:rPr>
          <w:lang w:eastAsia="ja-JP"/>
        </w:rPr>
      </w:pPr>
      <w:r>
        <w:rPr>
          <w:lang w:eastAsia="ja-JP"/>
        </w:rPr>
        <w:t>Un syndrome de lyse tumorale (SLT) a été r</w:t>
      </w:r>
      <w:r w:rsidR="002A1A64">
        <w:rPr>
          <w:lang w:eastAsia="ja-JP"/>
        </w:rPr>
        <w:t xml:space="preserve">arement rapporté au cours du traitement par Jaypirca. </w:t>
      </w:r>
      <w:r w:rsidR="00035D24">
        <w:rPr>
          <w:lang w:eastAsia="ja-JP"/>
        </w:rPr>
        <w:t xml:space="preserve">Les patients présentant un risque </w:t>
      </w:r>
      <w:r w:rsidR="000633E9">
        <w:rPr>
          <w:lang w:eastAsia="ja-JP"/>
        </w:rPr>
        <w:t xml:space="preserve">important </w:t>
      </w:r>
      <w:r w:rsidR="00035D24">
        <w:rPr>
          <w:lang w:eastAsia="ja-JP"/>
        </w:rPr>
        <w:t xml:space="preserve">de SLT sont ceux </w:t>
      </w:r>
      <w:r w:rsidR="00B71807">
        <w:rPr>
          <w:lang w:eastAsia="ja-JP"/>
        </w:rPr>
        <w:t>présentant une charge tumorale élevée</w:t>
      </w:r>
      <w:r w:rsidR="000633E9">
        <w:rPr>
          <w:lang w:eastAsia="ja-JP"/>
        </w:rPr>
        <w:t xml:space="preserve"> </w:t>
      </w:r>
      <w:r w:rsidR="00B912CB">
        <w:rPr>
          <w:lang w:eastAsia="ja-JP"/>
        </w:rPr>
        <w:t xml:space="preserve">avant le début du traitement. Les patients doivent être </w:t>
      </w:r>
      <w:r w:rsidR="00EC5109">
        <w:rPr>
          <w:lang w:eastAsia="ja-JP"/>
        </w:rPr>
        <w:t xml:space="preserve">évalués </w:t>
      </w:r>
      <w:r w:rsidR="00590FB1">
        <w:rPr>
          <w:lang w:eastAsia="ja-JP"/>
        </w:rPr>
        <w:t xml:space="preserve">afin de déterminer s’ils présentent un </w:t>
      </w:r>
      <w:r w:rsidR="00EC5109">
        <w:rPr>
          <w:lang w:eastAsia="ja-JP"/>
        </w:rPr>
        <w:t>risque éventuel de SLT</w:t>
      </w:r>
      <w:r w:rsidR="00B3113F">
        <w:rPr>
          <w:lang w:eastAsia="ja-JP"/>
        </w:rPr>
        <w:t xml:space="preserve"> et faire l’objet d’une surveillance étroite selon les indications cliniques.</w:t>
      </w:r>
    </w:p>
    <w:p w14:paraId="5C6DBB44" w14:textId="77777777" w:rsidR="00F0129C" w:rsidRPr="00F0129C" w:rsidRDefault="00F0129C" w:rsidP="006C475A">
      <w:pPr>
        <w:tabs>
          <w:tab w:val="clear" w:pos="567"/>
        </w:tabs>
        <w:spacing w:line="240" w:lineRule="auto"/>
        <w:rPr>
          <w:lang w:eastAsia="ja-JP"/>
        </w:rPr>
      </w:pPr>
    </w:p>
    <w:p w14:paraId="7CD8B028" w14:textId="3E07F6E8" w:rsidR="00064170" w:rsidRPr="00AD464F" w:rsidRDefault="00740D2F" w:rsidP="009377E5">
      <w:pPr>
        <w:keepNext/>
        <w:spacing w:line="240" w:lineRule="auto"/>
        <w:rPr>
          <w:u w:val="single"/>
        </w:rPr>
      </w:pPr>
      <w:r>
        <w:rPr>
          <w:u w:val="single"/>
        </w:rPr>
        <w:t>Contraception des femmes</w:t>
      </w:r>
      <w:r w:rsidR="00064170" w:rsidRPr="00AD464F">
        <w:rPr>
          <w:u w:val="single"/>
        </w:rPr>
        <w:t xml:space="preserve"> en âge de procréer</w:t>
      </w:r>
      <w:r w:rsidR="0009013A">
        <w:rPr>
          <w:u w:val="single"/>
        </w:rPr>
        <w:t xml:space="preserve"> et des hommes</w:t>
      </w:r>
    </w:p>
    <w:p w14:paraId="38541B53" w14:textId="77777777" w:rsidR="00B03D45" w:rsidRPr="00AD464F" w:rsidRDefault="00B03D45" w:rsidP="009377E5">
      <w:pPr>
        <w:keepNext/>
        <w:spacing w:line="240" w:lineRule="auto"/>
        <w:rPr>
          <w:noProof/>
          <w:szCs w:val="22"/>
          <w:u w:val="single"/>
        </w:rPr>
      </w:pPr>
    </w:p>
    <w:p w14:paraId="0DE310EA" w14:textId="3BA8A643" w:rsidR="00064170" w:rsidRPr="00AD464F" w:rsidRDefault="00B03D45" w:rsidP="009377E5">
      <w:pPr>
        <w:keepNext/>
        <w:tabs>
          <w:tab w:val="clear" w:pos="567"/>
        </w:tabs>
        <w:spacing w:line="240" w:lineRule="auto"/>
      </w:pPr>
      <w:r w:rsidRPr="00AD464F">
        <w:t>D</w:t>
      </w:r>
      <w:r w:rsidR="00644A8E">
        <w:t>’</w:t>
      </w:r>
      <w:r w:rsidRPr="00AD464F">
        <w:t>après les données obtenues chez l</w:t>
      </w:r>
      <w:r w:rsidR="00644A8E">
        <w:t>’</w:t>
      </w:r>
      <w:r w:rsidRPr="00AD464F">
        <w:t xml:space="preserve">animal et </w:t>
      </w:r>
      <w:r w:rsidR="00DA6383">
        <w:t>la génotoxicité du pirtobrutinib, (voir rubrique</w:t>
      </w:r>
      <w:r w:rsidR="00D00C3B">
        <w:t> </w:t>
      </w:r>
      <w:r w:rsidR="00DA6383">
        <w:t>5.3)</w:t>
      </w:r>
      <w:r w:rsidRPr="00AD464F">
        <w:t>, le pirtobrutinib peut avoir des effets délétères sur le fœtus s’il est administré pendant la grossesse. Les femmes en âge de procréer doivent utiliser une méthode de contraception efficace pendant le traitement et pendant 5 semaines après la dernière dose de Jaypirca.</w:t>
      </w:r>
      <w:r w:rsidR="007D3536">
        <w:t xml:space="preserve"> </w:t>
      </w:r>
      <w:r w:rsidR="000931DC" w:rsidRPr="000931DC">
        <w:t>Il est conseillé aux hommes d</w:t>
      </w:r>
      <w:r w:rsidR="00644A8E">
        <w:t>’</w:t>
      </w:r>
      <w:r w:rsidR="000931DC" w:rsidRPr="000931DC">
        <w:t xml:space="preserve">utiliser une méthode de contraception efficace et de ne pas </w:t>
      </w:r>
      <w:r w:rsidR="009D527B">
        <w:t>concevoir</w:t>
      </w:r>
      <w:r w:rsidR="000931DC" w:rsidRPr="000931DC">
        <w:t xml:space="preserve"> d</w:t>
      </w:r>
      <w:r w:rsidR="00644A8E">
        <w:t>’</w:t>
      </w:r>
      <w:r w:rsidR="000931DC" w:rsidRPr="000931DC">
        <w:t>enfant pendant le traitement et pendant les 3</w:t>
      </w:r>
      <w:r w:rsidR="00644A8E">
        <w:t> </w:t>
      </w:r>
      <w:r w:rsidR="000931DC" w:rsidRPr="000931DC">
        <w:t xml:space="preserve">mois qui suivent la dernière dose de Jaypirca (voir </w:t>
      </w:r>
      <w:r w:rsidR="000931DC">
        <w:t>rubrique</w:t>
      </w:r>
      <w:r w:rsidR="00D00C3B">
        <w:t> </w:t>
      </w:r>
      <w:r w:rsidR="000931DC" w:rsidRPr="000931DC">
        <w:t>4.6).</w:t>
      </w:r>
    </w:p>
    <w:p w14:paraId="0BDB8EBB" w14:textId="00FF4A2B" w:rsidR="006C475A" w:rsidRPr="00AD464F" w:rsidRDefault="006C475A" w:rsidP="006C475A">
      <w:pPr>
        <w:tabs>
          <w:tab w:val="clear" w:pos="567"/>
        </w:tabs>
        <w:spacing w:line="240" w:lineRule="auto"/>
        <w:rPr>
          <w:lang w:eastAsia="ja-JP"/>
        </w:rPr>
      </w:pPr>
    </w:p>
    <w:p w14:paraId="0AF3AF9D" w14:textId="4F0A0E1F" w:rsidR="006C475A" w:rsidRPr="007606B8" w:rsidRDefault="006C475A" w:rsidP="009377E5">
      <w:pPr>
        <w:keepNext/>
        <w:tabs>
          <w:tab w:val="clear" w:pos="567"/>
        </w:tabs>
        <w:spacing w:line="240" w:lineRule="auto"/>
        <w:rPr>
          <w:u w:val="single"/>
        </w:rPr>
      </w:pPr>
      <w:r w:rsidRPr="007606B8">
        <w:rPr>
          <w:u w:val="single"/>
          <w:lang w:eastAsia="ja-JP"/>
        </w:rPr>
        <w:t>Lactose</w:t>
      </w:r>
      <w:r w:rsidRPr="007606B8">
        <w:rPr>
          <w:u w:val="single"/>
          <w:lang w:eastAsia="ja-JP"/>
        </w:rPr>
        <w:br/>
      </w:r>
    </w:p>
    <w:p w14:paraId="35E0A749" w14:textId="6ABCE7E8" w:rsidR="006C475A" w:rsidRPr="007533AA" w:rsidRDefault="0025603B" w:rsidP="009377E5">
      <w:pPr>
        <w:keepNext/>
        <w:tabs>
          <w:tab w:val="clear" w:pos="567"/>
        </w:tabs>
        <w:spacing w:line="240" w:lineRule="auto"/>
      </w:pPr>
      <w:r w:rsidRPr="007533AA">
        <w:t>Les patients présentant des maladies héréditaires rares d’intolérance au galactose, un déficit total en lactase ou un syndrome de malabsorption du glucose ou du galactose ne doivent pas prendre ce médicament.</w:t>
      </w:r>
    </w:p>
    <w:p w14:paraId="7C720501" w14:textId="77777777" w:rsidR="00CF300B" w:rsidRPr="007533AA" w:rsidRDefault="00CF300B" w:rsidP="006C475A">
      <w:pPr>
        <w:tabs>
          <w:tab w:val="clear" w:pos="567"/>
        </w:tabs>
        <w:spacing w:line="240" w:lineRule="auto"/>
        <w:rPr>
          <w:lang w:eastAsia="ja-JP"/>
        </w:rPr>
      </w:pPr>
    </w:p>
    <w:p w14:paraId="6833C5DE" w14:textId="4FCC90FB" w:rsidR="006C475A" w:rsidRPr="007606B8" w:rsidRDefault="006C475A" w:rsidP="009377E5">
      <w:pPr>
        <w:keepNext/>
        <w:tabs>
          <w:tab w:val="clear" w:pos="567"/>
        </w:tabs>
        <w:spacing w:line="240" w:lineRule="auto"/>
        <w:rPr>
          <w:u w:val="single"/>
        </w:rPr>
      </w:pPr>
      <w:r w:rsidRPr="007606B8">
        <w:rPr>
          <w:u w:val="single"/>
          <w:lang w:eastAsia="ja-JP"/>
        </w:rPr>
        <w:t>Sodium</w:t>
      </w:r>
      <w:r w:rsidRPr="007606B8">
        <w:rPr>
          <w:u w:val="single"/>
          <w:lang w:eastAsia="ja-JP"/>
        </w:rPr>
        <w:br/>
      </w:r>
    </w:p>
    <w:p w14:paraId="015AD2C3" w14:textId="7D5ADE21" w:rsidR="00812D16" w:rsidRPr="00E76532" w:rsidRDefault="00E76532" w:rsidP="009377E5">
      <w:pPr>
        <w:keepNext/>
        <w:tabs>
          <w:tab w:val="clear" w:pos="567"/>
        </w:tabs>
        <w:spacing w:line="240" w:lineRule="auto"/>
        <w:rPr>
          <w:i/>
          <w:noProof/>
          <w:szCs w:val="22"/>
          <w:highlight w:val="yellow"/>
        </w:rPr>
      </w:pPr>
      <w:r w:rsidRPr="00B74A3B">
        <w:t xml:space="preserve">Ce médicament contient moins de 1 mmol (23 mg) de sodium par </w:t>
      </w:r>
      <w:r w:rsidR="00D00C3B">
        <w:t>dose quotidienne de 200 mg</w:t>
      </w:r>
      <w:r w:rsidRPr="00B74A3B">
        <w:t>, c’est-à-dire qu’il est essentiellement « sans sodium ».</w:t>
      </w:r>
    </w:p>
    <w:p w14:paraId="1454398A" w14:textId="77777777" w:rsidR="00812D16" w:rsidRPr="002D57BF" w:rsidRDefault="00812D16" w:rsidP="00204AAB">
      <w:pPr>
        <w:spacing w:line="240" w:lineRule="auto"/>
        <w:outlineLvl w:val="0"/>
        <w:rPr>
          <w:noProof/>
          <w:szCs w:val="22"/>
        </w:rPr>
      </w:pPr>
    </w:p>
    <w:p w14:paraId="2F1335B9" w14:textId="242D4ABD" w:rsidR="007533AA" w:rsidRPr="00B74A3B" w:rsidRDefault="007533AA" w:rsidP="007533AA">
      <w:pPr>
        <w:keepNext/>
        <w:spacing w:line="240" w:lineRule="auto"/>
        <w:ind w:left="567" w:hanging="567"/>
        <w:outlineLvl w:val="0"/>
        <w:rPr>
          <w:noProof/>
        </w:rPr>
      </w:pPr>
      <w:r w:rsidRPr="00107F0F">
        <w:rPr>
          <w:b/>
        </w:rPr>
        <w:t>4.5</w:t>
      </w:r>
      <w:r w:rsidRPr="00107F0F">
        <w:rPr>
          <w:b/>
        </w:rPr>
        <w:tab/>
        <w:t>Interactions avec d’autres médicaments et autres formes d</w:t>
      </w:r>
      <w:r w:rsidR="00644A8E">
        <w:rPr>
          <w:b/>
        </w:rPr>
        <w:t>’</w:t>
      </w:r>
      <w:r w:rsidRPr="00107F0F">
        <w:rPr>
          <w:b/>
        </w:rPr>
        <w:t>interactions</w:t>
      </w:r>
      <w:r w:rsidR="00D944F9">
        <w:rPr>
          <w:b/>
        </w:rPr>
        <w:fldChar w:fldCharType="begin"/>
      </w:r>
      <w:r w:rsidR="00D944F9">
        <w:rPr>
          <w:b/>
        </w:rPr>
        <w:instrText xml:space="preserve"> DOCVARIABLE vault_nd_74506444-b244-45cf-b1c9-6cea6ad2a862 \* MERGEFORMAT </w:instrText>
      </w:r>
      <w:r w:rsidR="00D944F9">
        <w:rPr>
          <w:b/>
        </w:rPr>
        <w:fldChar w:fldCharType="separate"/>
      </w:r>
      <w:r w:rsidR="00D944F9">
        <w:rPr>
          <w:b/>
        </w:rPr>
        <w:t xml:space="preserve"> </w:t>
      </w:r>
      <w:r w:rsidR="00D944F9">
        <w:rPr>
          <w:b/>
        </w:rPr>
        <w:fldChar w:fldCharType="end"/>
      </w:r>
    </w:p>
    <w:p w14:paraId="194FD446" w14:textId="2BBE51D3" w:rsidR="00812D16" w:rsidRPr="007533AA" w:rsidRDefault="00812D16" w:rsidP="009377E5">
      <w:pPr>
        <w:keepNext/>
        <w:spacing w:line="240" w:lineRule="auto"/>
        <w:rPr>
          <w:noProof/>
          <w:szCs w:val="22"/>
        </w:rPr>
      </w:pPr>
    </w:p>
    <w:p w14:paraId="08CD082D" w14:textId="1AC3AC7E" w:rsidR="003B72B6" w:rsidRPr="00AD464F" w:rsidRDefault="00C92B3E" w:rsidP="009377E5">
      <w:pPr>
        <w:keepNext/>
        <w:spacing w:line="240" w:lineRule="auto"/>
        <w:rPr>
          <w:noProof/>
          <w:szCs w:val="22"/>
        </w:rPr>
      </w:pPr>
      <w:r w:rsidRPr="00AD464F">
        <w:t>Le pirtobrutinib est principalement métabolisé par le CYP3A4, l</w:t>
      </w:r>
      <w:r w:rsidR="00644A8E">
        <w:t>’</w:t>
      </w:r>
      <w:r w:rsidRPr="00AD464F">
        <w:t>UGT1A8 et l</w:t>
      </w:r>
      <w:r w:rsidR="00644A8E">
        <w:t>’</w:t>
      </w:r>
      <w:r w:rsidRPr="00AD464F">
        <w:t>UGT1A9.</w:t>
      </w:r>
    </w:p>
    <w:p w14:paraId="1B1135A3" w14:textId="77777777" w:rsidR="00C92B3E" w:rsidRPr="00AD464F" w:rsidRDefault="00C92B3E" w:rsidP="00204AAB">
      <w:pPr>
        <w:spacing w:line="240" w:lineRule="auto"/>
        <w:rPr>
          <w:noProof/>
          <w:szCs w:val="22"/>
        </w:rPr>
      </w:pPr>
    </w:p>
    <w:p w14:paraId="52527186" w14:textId="5FBD2002" w:rsidR="00604030" w:rsidRPr="00AD464F" w:rsidRDefault="00604030" w:rsidP="00604030">
      <w:pPr>
        <w:keepNext/>
        <w:spacing w:line="240" w:lineRule="auto"/>
        <w:rPr>
          <w:noProof/>
          <w:szCs w:val="22"/>
          <w:u w:val="single"/>
        </w:rPr>
      </w:pPr>
      <w:r w:rsidRPr="00AD464F">
        <w:rPr>
          <w:u w:val="single"/>
        </w:rPr>
        <w:t>Effets d</w:t>
      </w:r>
      <w:r w:rsidR="00644A8E">
        <w:rPr>
          <w:u w:val="single"/>
        </w:rPr>
        <w:t>’</w:t>
      </w:r>
      <w:r w:rsidRPr="00AD464F">
        <w:rPr>
          <w:u w:val="single"/>
        </w:rPr>
        <w:t>autres médicaments sur la pharmacocinétique du pirtobrutinib</w:t>
      </w:r>
    </w:p>
    <w:p w14:paraId="3FD9F3F4" w14:textId="77777777" w:rsidR="00604030" w:rsidRPr="00AD464F" w:rsidRDefault="00604030" w:rsidP="00604030">
      <w:pPr>
        <w:keepNext/>
        <w:spacing w:line="240" w:lineRule="auto"/>
        <w:rPr>
          <w:noProof/>
          <w:szCs w:val="22"/>
          <w:u w:val="single"/>
        </w:rPr>
      </w:pPr>
    </w:p>
    <w:p w14:paraId="27709C0D" w14:textId="1C0690A5" w:rsidR="00604030" w:rsidRPr="00AD464F" w:rsidRDefault="00604030" w:rsidP="00604030">
      <w:pPr>
        <w:keepNext/>
        <w:spacing w:line="240" w:lineRule="auto"/>
        <w:rPr>
          <w:i/>
          <w:iCs/>
          <w:noProof/>
          <w:szCs w:val="22"/>
        </w:rPr>
      </w:pPr>
      <w:r w:rsidRPr="00AD464F">
        <w:rPr>
          <w:i/>
        </w:rPr>
        <w:t>Inhibiteurs du CYP3A</w:t>
      </w:r>
    </w:p>
    <w:p w14:paraId="261F7258" w14:textId="3D17183F" w:rsidR="00604030" w:rsidRPr="00AD464F" w:rsidRDefault="00604030" w:rsidP="00604030">
      <w:pPr>
        <w:keepNext/>
        <w:spacing w:line="240" w:lineRule="auto"/>
        <w:rPr>
          <w:rStyle w:val="Verwijzingopmerking"/>
          <w:sz w:val="22"/>
          <w:szCs w:val="22"/>
        </w:rPr>
      </w:pPr>
      <w:r w:rsidRPr="00AD464F">
        <w:t>Dans une étude clinique, l</w:t>
      </w:r>
      <w:r w:rsidR="00644A8E">
        <w:t>’</w:t>
      </w:r>
      <w:r w:rsidRPr="00AD464F">
        <w:t>itraconazole, un puissant inhibiteur du CYP3A4, a augmenté l</w:t>
      </w:r>
      <w:r w:rsidR="00644A8E">
        <w:t>’</w:t>
      </w:r>
      <w:r w:rsidRPr="00AD464F">
        <w:t>ASC du pirtobrutinib de 48 % et n</w:t>
      </w:r>
      <w:r w:rsidR="00644A8E">
        <w:t>’</w:t>
      </w:r>
      <w:r w:rsidRPr="00AD464F">
        <w:t>a pas modifié la C</w:t>
      </w:r>
      <w:r w:rsidRPr="00F519A6">
        <w:rPr>
          <w:vertAlign w:val="subscript"/>
        </w:rPr>
        <w:t>max</w:t>
      </w:r>
      <w:r w:rsidRPr="00AD464F">
        <w:t xml:space="preserve"> du pirtobrutinib. Cette augmentation de l</w:t>
      </w:r>
      <w:r w:rsidR="00644A8E">
        <w:t>’</w:t>
      </w:r>
      <w:r w:rsidRPr="00AD464F">
        <w:t>exposition au pirtobrutinib n</w:t>
      </w:r>
      <w:r w:rsidR="00644A8E">
        <w:t>’</w:t>
      </w:r>
      <w:r w:rsidRPr="00AD464F">
        <w:t>est pas cliniquement significative. Par conséquent, aucune adaptation posologique de Jaypirca n</w:t>
      </w:r>
      <w:r w:rsidR="00644A8E">
        <w:t>’</w:t>
      </w:r>
      <w:r w:rsidRPr="00AD464F">
        <w:t>est nécessaire avec les inhibiteurs du CYP3A.</w:t>
      </w:r>
    </w:p>
    <w:p w14:paraId="1F7268B8" w14:textId="77777777" w:rsidR="00604030" w:rsidRPr="00AD464F" w:rsidRDefault="00604030" w:rsidP="00604030">
      <w:pPr>
        <w:spacing w:line="240" w:lineRule="auto"/>
        <w:rPr>
          <w:noProof/>
          <w:szCs w:val="22"/>
        </w:rPr>
      </w:pPr>
    </w:p>
    <w:p w14:paraId="03283104" w14:textId="2C8C64FC" w:rsidR="00604030" w:rsidRPr="00AD464F" w:rsidRDefault="00604030" w:rsidP="00604030">
      <w:pPr>
        <w:keepNext/>
        <w:spacing w:line="240" w:lineRule="auto"/>
        <w:rPr>
          <w:i/>
          <w:iCs/>
          <w:noProof/>
          <w:szCs w:val="22"/>
        </w:rPr>
      </w:pPr>
      <w:r w:rsidRPr="00AD464F">
        <w:rPr>
          <w:i/>
        </w:rPr>
        <w:t>Inducteurs du CYP3A</w:t>
      </w:r>
    </w:p>
    <w:p w14:paraId="37ED1595" w14:textId="2BBB9AE4" w:rsidR="00604030" w:rsidRDefault="00604030" w:rsidP="00642E07">
      <w:pPr>
        <w:keepNext/>
        <w:spacing w:after="140" w:line="240" w:lineRule="auto"/>
      </w:pPr>
      <w:r w:rsidRPr="00AD464F">
        <w:t>Dans une étude clinique, la rifampicine, un puissant inducteur du CYP3A, a diminué l</w:t>
      </w:r>
      <w:r w:rsidR="00644A8E">
        <w:t>’</w:t>
      </w:r>
      <w:r w:rsidRPr="00AD464F">
        <w:t>ASC et la C</w:t>
      </w:r>
      <w:r w:rsidRPr="00022794">
        <w:rPr>
          <w:vertAlign w:val="subscript"/>
        </w:rPr>
        <w:t>max</w:t>
      </w:r>
      <w:r w:rsidRPr="00AD464F">
        <w:t xml:space="preserve"> du pirtobrutinib de 71 % et 42 %, respectivement.</w:t>
      </w:r>
      <w:r w:rsidR="005B017E">
        <w:t xml:space="preserve"> Même si </w:t>
      </w:r>
      <w:r w:rsidR="00381004">
        <w:t>ce</w:t>
      </w:r>
      <w:r w:rsidRPr="00AD464F">
        <w:t>tte diminution de l</w:t>
      </w:r>
      <w:r w:rsidR="00C86C2F">
        <w:t>’</w:t>
      </w:r>
      <w:r w:rsidRPr="00AD464F">
        <w:t xml:space="preserve">exposition au </w:t>
      </w:r>
      <w:r w:rsidRPr="00AD464F">
        <w:lastRenderedPageBreak/>
        <w:t>pirtobrutinib n</w:t>
      </w:r>
      <w:r w:rsidR="00381004">
        <w:t>e semble pas être</w:t>
      </w:r>
      <w:r w:rsidRPr="00AD464F">
        <w:t xml:space="preserve"> cliniquement significative</w:t>
      </w:r>
      <w:r w:rsidR="00A8080E">
        <w:t xml:space="preserve">, les inducteurs </w:t>
      </w:r>
      <w:r w:rsidR="00D00C3B">
        <w:t xml:space="preserve">puissants </w:t>
      </w:r>
      <w:r w:rsidR="00A8080E">
        <w:t>du CYP3A (</w:t>
      </w:r>
      <w:r w:rsidR="00DB1ACA">
        <w:t>par exemple, rifampicine, carbamazépine, phénytoïne)</w:t>
      </w:r>
      <w:r w:rsidR="00D00C3B">
        <w:t xml:space="preserve"> doivent être évités si possible</w:t>
      </w:r>
      <w:r w:rsidR="00DB1ACA">
        <w:t>.</w:t>
      </w:r>
    </w:p>
    <w:p w14:paraId="6E5F7CD4" w14:textId="7667B54F" w:rsidR="00936BE9" w:rsidRPr="00AD464F" w:rsidRDefault="00936BE9" w:rsidP="001D27D7">
      <w:pPr>
        <w:keepNext/>
        <w:spacing w:line="240" w:lineRule="auto"/>
        <w:rPr>
          <w:rStyle w:val="Verwijzingopmerking"/>
          <w:sz w:val="22"/>
          <w:szCs w:val="22"/>
          <w:u w:val="single"/>
        </w:rPr>
      </w:pPr>
    </w:p>
    <w:p w14:paraId="3E0C7BFA" w14:textId="77777777" w:rsidR="00975E93" w:rsidRPr="00AD464F" w:rsidRDefault="00975E93" w:rsidP="00975E93">
      <w:pPr>
        <w:keepNext/>
        <w:tabs>
          <w:tab w:val="clear" w:pos="567"/>
        </w:tabs>
        <w:autoSpaceDE w:val="0"/>
        <w:autoSpaceDN w:val="0"/>
        <w:adjustRightInd w:val="0"/>
        <w:spacing w:line="240" w:lineRule="auto"/>
      </w:pPr>
      <w:r w:rsidRPr="00AD464F">
        <w:rPr>
          <w:i/>
        </w:rPr>
        <w:t>Co-administration avec des médicaments inhibiteurs de la pompe à protons</w:t>
      </w:r>
    </w:p>
    <w:p w14:paraId="25C0E0E6" w14:textId="0BD392E8" w:rsidR="00975E93" w:rsidRPr="00AD464F" w:rsidRDefault="00975E93" w:rsidP="00975E93">
      <w:pPr>
        <w:keepNext/>
        <w:tabs>
          <w:tab w:val="clear" w:pos="567"/>
        </w:tabs>
        <w:autoSpaceDE w:val="0"/>
        <w:autoSpaceDN w:val="0"/>
        <w:adjustRightInd w:val="0"/>
        <w:spacing w:line="240" w:lineRule="auto"/>
      </w:pPr>
      <w:r w:rsidRPr="00AD464F">
        <w:t>Aucune différence cliniquement significative dans la pharmacocinétique du pirtobrutinib n</w:t>
      </w:r>
      <w:r w:rsidR="00C86C2F">
        <w:t>’</w:t>
      </w:r>
      <w:r w:rsidRPr="00AD464F">
        <w:t>a été observée lors de l</w:t>
      </w:r>
      <w:r w:rsidR="00C86C2F">
        <w:t>’</w:t>
      </w:r>
      <w:r w:rsidRPr="00AD464F">
        <w:t>administration concomitante avec l</w:t>
      </w:r>
      <w:r w:rsidR="00C86C2F">
        <w:t>’</w:t>
      </w:r>
      <w:r w:rsidRPr="00AD464F">
        <w:t>oméprazole, un inhibiteur de la pompe à protons.</w:t>
      </w:r>
    </w:p>
    <w:p w14:paraId="779D267F" w14:textId="77777777" w:rsidR="001D27D7" w:rsidRPr="00AD464F" w:rsidRDefault="001D27D7" w:rsidP="00204AAB">
      <w:pPr>
        <w:spacing w:line="240" w:lineRule="auto"/>
        <w:rPr>
          <w:noProof/>
          <w:szCs w:val="22"/>
        </w:rPr>
      </w:pPr>
    </w:p>
    <w:p w14:paraId="3127D480" w14:textId="4EB77385" w:rsidR="00E526D6" w:rsidRPr="00AD464F" w:rsidRDefault="00E526D6" w:rsidP="009377E5">
      <w:pPr>
        <w:keepNext/>
        <w:spacing w:line="240" w:lineRule="auto"/>
        <w:rPr>
          <w:noProof/>
          <w:szCs w:val="22"/>
          <w:u w:val="single"/>
        </w:rPr>
      </w:pPr>
      <w:r w:rsidRPr="00AD464F">
        <w:rPr>
          <w:u w:val="single"/>
        </w:rPr>
        <w:t>Effets du pirtobrutinib sur la pharmacocinétique d</w:t>
      </w:r>
      <w:r w:rsidR="00C86C2F">
        <w:rPr>
          <w:u w:val="single"/>
        </w:rPr>
        <w:t>’</w:t>
      </w:r>
      <w:r w:rsidRPr="00AD464F">
        <w:rPr>
          <w:u w:val="single"/>
        </w:rPr>
        <w:t>autres médicaments (augmentation de la concentration plasmatique)</w:t>
      </w:r>
    </w:p>
    <w:p w14:paraId="600FFEB3" w14:textId="77777777" w:rsidR="00E526D6" w:rsidRPr="00AD464F" w:rsidRDefault="00E526D6" w:rsidP="009377E5">
      <w:pPr>
        <w:keepNext/>
        <w:spacing w:line="240" w:lineRule="auto"/>
        <w:rPr>
          <w:noProof/>
          <w:szCs w:val="22"/>
        </w:rPr>
      </w:pPr>
    </w:p>
    <w:p w14:paraId="60AB0ED0" w14:textId="16FCFC67" w:rsidR="00E526D6" w:rsidRPr="00AD464F" w:rsidRDefault="00E526D6" w:rsidP="009377E5">
      <w:pPr>
        <w:keepNext/>
        <w:tabs>
          <w:tab w:val="clear" w:pos="567"/>
        </w:tabs>
        <w:autoSpaceDE w:val="0"/>
        <w:autoSpaceDN w:val="0"/>
        <w:adjustRightInd w:val="0"/>
        <w:spacing w:line="240" w:lineRule="auto"/>
        <w:rPr>
          <w:rFonts w:eastAsia="SimSun"/>
          <w:i/>
          <w:iCs/>
          <w:szCs w:val="22"/>
        </w:rPr>
      </w:pPr>
      <w:r w:rsidRPr="00AD464F">
        <w:rPr>
          <w:i/>
        </w:rPr>
        <w:t>Substrats du CYP2C8</w:t>
      </w:r>
    </w:p>
    <w:p w14:paraId="1D643016" w14:textId="6ED799B8" w:rsidR="00E526D6" w:rsidRPr="00AD464F" w:rsidRDefault="00E526D6" w:rsidP="009377E5">
      <w:pPr>
        <w:keepNext/>
      </w:pPr>
      <w:r w:rsidRPr="00AD464F">
        <w:t>Le pirtobrutinib est un inhibiteur modéré du CYP2C8. Le pirtobrutinib a augmenté l</w:t>
      </w:r>
      <w:r w:rsidR="00C86C2F">
        <w:t>’</w:t>
      </w:r>
      <w:r w:rsidRPr="00AD464F">
        <w:t>ASC et la C</w:t>
      </w:r>
      <w:r w:rsidRPr="00AD464F">
        <w:rPr>
          <w:sz w:val="14"/>
        </w:rPr>
        <w:t>max</w:t>
      </w:r>
      <w:r w:rsidRPr="00AD464F">
        <w:t xml:space="preserve"> du répaglinide (un substrat du CYP2C8) de 130 % et 98 %, respectivement. </w:t>
      </w:r>
      <w:r w:rsidR="00216CF8">
        <w:rPr>
          <w:rStyle w:val="cf01"/>
          <w:rFonts w:ascii="Times New Roman" w:hAnsi="Times New Roman"/>
          <w:b w:val="0"/>
          <w:sz w:val="22"/>
        </w:rPr>
        <w:t>Par</w:t>
      </w:r>
      <w:r w:rsidRPr="00AD464F">
        <w:rPr>
          <w:rStyle w:val="cf01"/>
          <w:rFonts w:ascii="Times New Roman" w:hAnsi="Times New Roman"/>
          <w:b w:val="0"/>
          <w:sz w:val="22"/>
        </w:rPr>
        <w:t xml:space="preserve"> conséquen</w:t>
      </w:r>
      <w:r w:rsidR="00216CF8">
        <w:rPr>
          <w:rStyle w:val="cf01"/>
          <w:rFonts w:ascii="Times New Roman" w:hAnsi="Times New Roman"/>
          <w:b w:val="0"/>
          <w:sz w:val="22"/>
        </w:rPr>
        <w:t>t</w:t>
      </w:r>
      <w:r w:rsidRPr="00AD464F">
        <w:rPr>
          <w:rStyle w:val="cf01"/>
          <w:rFonts w:ascii="Times New Roman" w:hAnsi="Times New Roman"/>
          <w:b w:val="0"/>
          <w:sz w:val="22"/>
        </w:rPr>
        <w:t>, étant donné que le pirtobrutinib est susceptible d’augmenter les concentrations plasmatiques des substrats du CYP2C8,</w:t>
      </w:r>
      <w:r w:rsidRPr="00AD464F">
        <w:t xml:space="preserve"> </w:t>
      </w:r>
      <w:r w:rsidR="00492CD2">
        <w:t xml:space="preserve">il convient d’être </w:t>
      </w:r>
      <w:r w:rsidR="00492CD2" w:rsidRPr="00AD464F">
        <w:t>pruden</w:t>
      </w:r>
      <w:r w:rsidR="00492CD2">
        <w:t>t</w:t>
      </w:r>
      <w:r w:rsidRPr="00AD464F">
        <w:t xml:space="preserve"> en cas d’administration concomitante avec des substrats du CYP2C8 (par exemple, répaglinide, dasabuvir, sélexipag, rosiglitazone, pioglitazone et montélukast). </w:t>
      </w:r>
    </w:p>
    <w:p w14:paraId="4D4F7F9D" w14:textId="77777777" w:rsidR="00B815E6" w:rsidRPr="00492CD2" w:rsidRDefault="00B815E6" w:rsidP="009377E5">
      <w:pPr>
        <w:keepNext/>
      </w:pPr>
    </w:p>
    <w:p w14:paraId="2881BC30" w14:textId="77777777" w:rsidR="003A7EB0" w:rsidRPr="00AD464F" w:rsidRDefault="003A7EB0" w:rsidP="003A7EB0">
      <w:pPr>
        <w:keepNext/>
        <w:rPr>
          <w:i/>
          <w:iCs/>
        </w:rPr>
      </w:pPr>
      <w:r w:rsidRPr="00AD464F">
        <w:rPr>
          <w:i/>
        </w:rPr>
        <w:t>Substrats de la BCRP</w:t>
      </w:r>
    </w:p>
    <w:p w14:paraId="411AE4F6" w14:textId="603110F7" w:rsidR="003A7EB0" w:rsidRPr="00AD464F" w:rsidRDefault="003A7EB0" w:rsidP="003A7EB0">
      <w:pPr>
        <w:keepNext/>
      </w:pPr>
      <w:r w:rsidRPr="00AD464F">
        <w:t>Le pirtobrutinib est un inhibiteur modéré de la BCRP. Le pirtobrutinib a augmenté l</w:t>
      </w:r>
      <w:r w:rsidR="00C86C2F">
        <w:t>’</w:t>
      </w:r>
      <w:r w:rsidRPr="00AD464F">
        <w:t>ASC et la C</w:t>
      </w:r>
      <w:r w:rsidRPr="00AD464F">
        <w:rPr>
          <w:vertAlign w:val="subscript"/>
        </w:rPr>
        <w:t>max</w:t>
      </w:r>
      <w:r w:rsidRPr="00AD464F">
        <w:t xml:space="preserve"> de la rosuvastatine (un substrat de la BCRP) de 140 % et 146 %, respectivement. </w:t>
      </w:r>
      <w:r w:rsidR="00C41892">
        <w:t>Par</w:t>
      </w:r>
      <w:r w:rsidRPr="00AD464F">
        <w:t xml:space="preserve"> conséquen</w:t>
      </w:r>
      <w:r w:rsidR="00C41892">
        <w:t>t</w:t>
      </w:r>
      <w:r w:rsidRPr="00AD464F">
        <w:t xml:space="preserve">, étant donné que le pirtobrutinib est susceptible d’augmenter les concentrations plasmatiques des substrats de la BCRP, </w:t>
      </w:r>
      <w:r w:rsidR="00492CD2">
        <w:t xml:space="preserve">il convient d’être prudent </w:t>
      </w:r>
      <w:r w:rsidRPr="00AD464F">
        <w:t>en cas d’administration concomitante avec des substrats de la BCRP (par exemple, rosuvastatine).</w:t>
      </w:r>
      <w:r w:rsidR="00F216F4">
        <w:t xml:space="preserve"> </w:t>
      </w:r>
      <w:r w:rsidR="00273A3B">
        <w:t>Si l’administration concomitante</w:t>
      </w:r>
      <w:r w:rsidR="00723EE8">
        <w:t xml:space="preserve"> avec des substrats de la BCRP à index thérapeutique étroit (par exemple,</w:t>
      </w:r>
      <w:r w:rsidR="004872CF">
        <w:t xml:space="preserve"> méthotrexate à forte dose, mitoxantrone) ne peut être évitée, une surveillance </w:t>
      </w:r>
      <w:r w:rsidR="00550E44">
        <w:t>clinique étroite doit être envisagée.</w:t>
      </w:r>
    </w:p>
    <w:p w14:paraId="0CCC20DB" w14:textId="77777777" w:rsidR="003A7EB0" w:rsidRPr="00AD464F" w:rsidRDefault="003A7EB0" w:rsidP="00E526D6">
      <w:pPr>
        <w:tabs>
          <w:tab w:val="clear" w:pos="567"/>
        </w:tabs>
        <w:autoSpaceDE w:val="0"/>
        <w:autoSpaceDN w:val="0"/>
        <w:adjustRightInd w:val="0"/>
        <w:spacing w:line="240" w:lineRule="auto"/>
        <w:rPr>
          <w:noProof/>
          <w:szCs w:val="22"/>
        </w:rPr>
      </w:pPr>
    </w:p>
    <w:p w14:paraId="2A6C4592" w14:textId="379B6BCA" w:rsidR="00E526D6" w:rsidRPr="00AD464F" w:rsidRDefault="00E526D6" w:rsidP="009377E5">
      <w:pPr>
        <w:keepNext/>
        <w:tabs>
          <w:tab w:val="clear" w:pos="567"/>
        </w:tabs>
        <w:autoSpaceDE w:val="0"/>
        <w:autoSpaceDN w:val="0"/>
        <w:adjustRightInd w:val="0"/>
        <w:spacing w:line="240" w:lineRule="auto"/>
        <w:rPr>
          <w:i/>
          <w:iCs/>
          <w:noProof/>
          <w:szCs w:val="22"/>
        </w:rPr>
      </w:pPr>
      <w:r w:rsidRPr="00AD464F">
        <w:rPr>
          <w:i/>
        </w:rPr>
        <w:t>Substrats de la P</w:t>
      </w:r>
      <w:r w:rsidRPr="00AD464F">
        <w:rPr>
          <w:i/>
        </w:rPr>
        <w:noBreakHyphen/>
        <w:t>gp</w:t>
      </w:r>
    </w:p>
    <w:p w14:paraId="16B5B494" w14:textId="5564CDF0" w:rsidR="00E526D6" w:rsidRPr="00AD464F" w:rsidRDefault="003A7EB0" w:rsidP="009377E5">
      <w:pPr>
        <w:keepNext/>
        <w:tabs>
          <w:tab w:val="clear" w:pos="567"/>
        </w:tabs>
        <w:autoSpaceDE w:val="0"/>
        <w:autoSpaceDN w:val="0"/>
        <w:adjustRightInd w:val="0"/>
        <w:spacing w:line="240" w:lineRule="auto"/>
        <w:rPr>
          <w:rFonts w:eastAsia="SimSun"/>
          <w:strike/>
          <w:szCs w:val="22"/>
        </w:rPr>
      </w:pPr>
      <w:r w:rsidRPr="00AD464F">
        <w:t xml:space="preserve">Le pirtobrutinib est un inhibiteur </w:t>
      </w:r>
      <w:r w:rsidR="00550E44">
        <w:t>faible</w:t>
      </w:r>
      <w:r w:rsidRPr="00AD464F">
        <w:t xml:space="preserve"> de la P-gp.</w:t>
      </w:r>
      <w:r w:rsidRPr="00550E44">
        <w:t xml:space="preserve"> </w:t>
      </w:r>
      <w:r w:rsidRPr="00AD464F">
        <w:t>Le pirtobrutinib a augmenté l</w:t>
      </w:r>
      <w:r w:rsidR="00C86C2F">
        <w:t>’</w:t>
      </w:r>
      <w:r w:rsidRPr="00AD464F">
        <w:t>ASC et la C</w:t>
      </w:r>
      <w:r w:rsidRPr="00AD464F">
        <w:rPr>
          <w:vertAlign w:val="subscript"/>
        </w:rPr>
        <w:t>max</w:t>
      </w:r>
      <w:r w:rsidRPr="00AD464F">
        <w:t xml:space="preserve"> de la digoxine (un substrat de la P</w:t>
      </w:r>
      <w:r w:rsidRPr="00AD464F">
        <w:noBreakHyphen/>
        <w:t xml:space="preserve">gp) de 35 % et 55 %, respectivement. </w:t>
      </w:r>
      <w:r w:rsidR="003123ED">
        <w:t>Par</w:t>
      </w:r>
      <w:r w:rsidRPr="00AD464F">
        <w:t xml:space="preserve"> conséquen</w:t>
      </w:r>
      <w:r w:rsidR="003123ED">
        <w:t>t</w:t>
      </w:r>
      <w:r w:rsidRPr="00AD464F">
        <w:t xml:space="preserve">, </w:t>
      </w:r>
      <w:r w:rsidRPr="00AD464F">
        <w:rPr>
          <w:rStyle w:val="cf01"/>
          <w:rFonts w:ascii="Times New Roman" w:hAnsi="Times New Roman"/>
          <w:b w:val="0"/>
          <w:sz w:val="22"/>
        </w:rPr>
        <w:t xml:space="preserve">le pirtobrutinib </w:t>
      </w:r>
      <w:r w:rsidR="00334AA3">
        <w:rPr>
          <w:rStyle w:val="cf01"/>
          <w:rFonts w:ascii="Times New Roman" w:hAnsi="Times New Roman"/>
          <w:b w:val="0"/>
          <w:sz w:val="22"/>
        </w:rPr>
        <w:t xml:space="preserve">peut </w:t>
      </w:r>
      <w:r w:rsidRPr="00AD464F">
        <w:rPr>
          <w:rStyle w:val="cf01"/>
          <w:rFonts w:ascii="Times New Roman" w:hAnsi="Times New Roman"/>
          <w:b w:val="0"/>
          <w:sz w:val="22"/>
        </w:rPr>
        <w:t>augmenter les concentrations plasmatiques des substrats de la P-gp</w:t>
      </w:r>
      <w:r w:rsidR="00A46F2B">
        <w:rPr>
          <w:rStyle w:val="cf01"/>
          <w:rFonts w:ascii="Times New Roman" w:hAnsi="Times New Roman"/>
          <w:b w:val="0"/>
          <w:sz w:val="22"/>
        </w:rPr>
        <w:t>.</w:t>
      </w:r>
      <w:r w:rsidR="003D5764">
        <w:rPr>
          <w:rStyle w:val="cf01"/>
          <w:rFonts w:ascii="Times New Roman" w:hAnsi="Times New Roman"/>
          <w:b w:val="0"/>
          <w:sz w:val="22"/>
        </w:rPr>
        <w:t xml:space="preserve"> Si l’administration concomitante avec des substrats de la P-gp </w:t>
      </w:r>
      <w:r w:rsidRPr="00AD464F">
        <w:t xml:space="preserve">à index thérapeutique étroit (par exemple, dabigatran étexilate et digoxine) </w:t>
      </w:r>
      <w:r w:rsidR="00733227">
        <w:t>ne peut être évitée, une surveillance clinique étroite doit être envisagée</w:t>
      </w:r>
      <w:r w:rsidRPr="00AD464F">
        <w:t>.</w:t>
      </w:r>
    </w:p>
    <w:p w14:paraId="506A1016" w14:textId="7C7D23EB" w:rsidR="00CB1AFF" w:rsidRPr="00AD464F" w:rsidRDefault="00CB1AFF" w:rsidP="009377E5">
      <w:pPr>
        <w:keepNext/>
        <w:tabs>
          <w:tab w:val="clear" w:pos="567"/>
        </w:tabs>
        <w:autoSpaceDE w:val="0"/>
        <w:autoSpaceDN w:val="0"/>
        <w:adjustRightInd w:val="0"/>
        <w:spacing w:line="240" w:lineRule="auto"/>
        <w:rPr>
          <w:rFonts w:eastAsia="SimSun"/>
          <w:strike/>
          <w:szCs w:val="22"/>
          <w:lang w:eastAsia="en-GB"/>
        </w:rPr>
      </w:pPr>
    </w:p>
    <w:p w14:paraId="2876BE8D" w14:textId="77777777" w:rsidR="005D734B" w:rsidRPr="00AD464F" w:rsidRDefault="005D734B" w:rsidP="005D734B">
      <w:pPr>
        <w:keepNext/>
        <w:tabs>
          <w:tab w:val="clear" w:pos="567"/>
        </w:tabs>
        <w:autoSpaceDE w:val="0"/>
        <w:autoSpaceDN w:val="0"/>
        <w:adjustRightInd w:val="0"/>
        <w:spacing w:line="240" w:lineRule="auto"/>
        <w:rPr>
          <w:rFonts w:eastAsia="SimSun"/>
          <w:i/>
          <w:szCs w:val="22"/>
        </w:rPr>
      </w:pPr>
      <w:r w:rsidRPr="00AD464F">
        <w:rPr>
          <w:i/>
        </w:rPr>
        <w:t>Substrats du CYP2C19</w:t>
      </w:r>
    </w:p>
    <w:p w14:paraId="3116CC69" w14:textId="20DC070D" w:rsidR="005D734B" w:rsidRPr="00AD464F" w:rsidRDefault="005D734B" w:rsidP="005D734B">
      <w:pPr>
        <w:keepNext/>
        <w:tabs>
          <w:tab w:val="clear" w:pos="567"/>
        </w:tabs>
        <w:autoSpaceDE w:val="0"/>
        <w:autoSpaceDN w:val="0"/>
        <w:adjustRightInd w:val="0"/>
        <w:spacing w:line="240" w:lineRule="auto"/>
        <w:rPr>
          <w:rFonts w:ascii="Segoe UI" w:hAnsi="Segoe UI" w:cs="Segoe UI"/>
        </w:rPr>
      </w:pPr>
      <w:r w:rsidRPr="00AD464F">
        <w:t xml:space="preserve">Le pirtobrutinib est un inhibiteur </w:t>
      </w:r>
      <w:r w:rsidR="00622FE1">
        <w:t>faible</w:t>
      </w:r>
      <w:r w:rsidRPr="00AD464F">
        <w:t xml:space="preserve"> du CYP2C19. Le pirtobrutinib a augmenté l</w:t>
      </w:r>
      <w:r w:rsidR="00C86C2F">
        <w:t>’</w:t>
      </w:r>
      <w:r w:rsidRPr="00AD464F">
        <w:t>ASC et la C</w:t>
      </w:r>
      <w:r w:rsidRPr="00AD464F">
        <w:rPr>
          <w:vertAlign w:val="subscript"/>
        </w:rPr>
        <w:t>max</w:t>
      </w:r>
      <w:r w:rsidRPr="00AD464F">
        <w:t xml:space="preserve"> de l</w:t>
      </w:r>
      <w:r w:rsidR="00C86C2F">
        <w:t>’</w:t>
      </w:r>
      <w:r w:rsidRPr="00AD464F">
        <w:t xml:space="preserve">oméprazole (un substrat du CYP2C19) de 56 % et 49 %, respectivement. </w:t>
      </w:r>
      <w:r w:rsidR="00692D9B">
        <w:t>Par</w:t>
      </w:r>
      <w:r w:rsidRPr="00AD464F">
        <w:t xml:space="preserve"> conséquen</w:t>
      </w:r>
      <w:r w:rsidR="00692D9B">
        <w:t>t</w:t>
      </w:r>
      <w:r w:rsidRPr="00AD464F">
        <w:t>, le pirtobrutinib</w:t>
      </w:r>
      <w:r w:rsidR="00334AA3">
        <w:t xml:space="preserve"> peut </w:t>
      </w:r>
      <w:r w:rsidRPr="00AD464F">
        <w:t>augmenter les concentrations plasmatiques des substrats du CYP2C19</w:t>
      </w:r>
      <w:r w:rsidR="00696DEA">
        <w:t xml:space="preserve">. Si l’administration concomitante avec </w:t>
      </w:r>
      <w:r w:rsidR="005424C2">
        <w:t>des</w:t>
      </w:r>
      <w:r w:rsidR="00696DEA">
        <w:t xml:space="preserve"> substrat</w:t>
      </w:r>
      <w:r w:rsidR="005424C2">
        <w:t>s</w:t>
      </w:r>
      <w:r w:rsidR="00C63390">
        <w:t xml:space="preserve"> du CYP2C19 à index thérapeutique étroit (par exemple, phénobarbital et méphénytoïne)</w:t>
      </w:r>
      <w:r w:rsidR="000239AC">
        <w:t xml:space="preserve"> ne peut être évitée, une surveillance clinique étroite doit être envisagée</w:t>
      </w:r>
      <w:r w:rsidRPr="00AD464F">
        <w:rPr>
          <w:rFonts w:ascii="Segoe UI" w:hAnsi="Segoe UI"/>
        </w:rPr>
        <w:t>.</w:t>
      </w:r>
    </w:p>
    <w:p w14:paraId="31462FF9" w14:textId="77777777" w:rsidR="00BC0FFE" w:rsidRPr="00AD464F" w:rsidRDefault="00BC0FFE" w:rsidP="005D734B">
      <w:pPr>
        <w:keepNext/>
        <w:tabs>
          <w:tab w:val="clear" w:pos="567"/>
        </w:tabs>
        <w:autoSpaceDE w:val="0"/>
        <w:autoSpaceDN w:val="0"/>
        <w:adjustRightInd w:val="0"/>
        <w:spacing w:line="240" w:lineRule="auto"/>
        <w:rPr>
          <w:rFonts w:eastAsia="SimSun"/>
          <w:szCs w:val="22"/>
          <w:lang w:eastAsia="en-GB"/>
        </w:rPr>
      </w:pPr>
    </w:p>
    <w:p w14:paraId="4A92A731" w14:textId="5762C87B" w:rsidR="00874BD0" w:rsidRPr="00AD464F" w:rsidRDefault="00874BD0" w:rsidP="00874BD0">
      <w:pPr>
        <w:keepNext/>
        <w:tabs>
          <w:tab w:val="clear" w:pos="567"/>
        </w:tabs>
        <w:autoSpaceDE w:val="0"/>
        <w:autoSpaceDN w:val="0"/>
        <w:adjustRightInd w:val="0"/>
        <w:spacing w:line="240" w:lineRule="auto"/>
        <w:rPr>
          <w:rFonts w:eastAsia="SimSun"/>
          <w:i/>
          <w:szCs w:val="22"/>
        </w:rPr>
      </w:pPr>
      <w:r w:rsidRPr="00AD464F">
        <w:rPr>
          <w:i/>
        </w:rPr>
        <w:t>Substrats du CYP</w:t>
      </w:r>
      <w:r>
        <w:rPr>
          <w:i/>
        </w:rPr>
        <w:t>3A</w:t>
      </w:r>
    </w:p>
    <w:p w14:paraId="63BF8FEF" w14:textId="12D4C4C1" w:rsidR="00ED4E34" w:rsidRPr="00AD464F" w:rsidRDefault="00874BD0" w:rsidP="00874BD0">
      <w:pPr>
        <w:keepNext/>
        <w:tabs>
          <w:tab w:val="clear" w:pos="567"/>
        </w:tabs>
        <w:autoSpaceDE w:val="0"/>
        <w:autoSpaceDN w:val="0"/>
        <w:adjustRightInd w:val="0"/>
        <w:spacing w:line="240" w:lineRule="auto"/>
      </w:pPr>
      <w:r w:rsidRPr="00AD464F">
        <w:t xml:space="preserve">Le pirtobrutinib est un inhibiteur </w:t>
      </w:r>
      <w:r>
        <w:t>faible</w:t>
      </w:r>
      <w:r w:rsidRPr="00AD464F">
        <w:t xml:space="preserve"> du CYP</w:t>
      </w:r>
      <w:r>
        <w:t>3A</w:t>
      </w:r>
      <w:r w:rsidRPr="00AD464F">
        <w:t>. Le pirtobrutinib a augmenté l</w:t>
      </w:r>
      <w:r w:rsidR="00C86C2F">
        <w:t>’</w:t>
      </w:r>
      <w:r w:rsidRPr="00AD464F">
        <w:t>ASC et la C</w:t>
      </w:r>
      <w:r w:rsidRPr="00AD464F">
        <w:rPr>
          <w:vertAlign w:val="subscript"/>
        </w:rPr>
        <w:t>max</w:t>
      </w:r>
      <w:r w:rsidRPr="00AD464F">
        <w:t xml:space="preserve"> d</w:t>
      </w:r>
      <w:r w:rsidR="00CA3FEC">
        <w:t>u midazolam administré par voie orale</w:t>
      </w:r>
      <w:r w:rsidRPr="00AD464F">
        <w:t xml:space="preserve"> (un substrat </w:t>
      </w:r>
      <w:r w:rsidR="00F0077E">
        <w:t xml:space="preserve">sensible </w:t>
      </w:r>
      <w:r w:rsidRPr="00AD464F">
        <w:t>du CYP</w:t>
      </w:r>
      <w:r w:rsidR="00F0077E">
        <w:t>3A</w:t>
      </w:r>
      <w:r w:rsidRPr="00AD464F">
        <w:t xml:space="preserve">) de </w:t>
      </w:r>
      <w:r w:rsidR="00F0077E">
        <w:t>70</w:t>
      </w:r>
      <w:r w:rsidRPr="00AD464F">
        <w:t xml:space="preserve"> % et </w:t>
      </w:r>
      <w:r w:rsidR="00F0077E">
        <w:t>58</w:t>
      </w:r>
      <w:r w:rsidRPr="00AD464F">
        <w:t> %, respectivement.</w:t>
      </w:r>
      <w:r w:rsidR="00B9597E">
        <w:t xml:space="preserve"> Le pirtobrutinib n’a pas eu d’effet cliniquement </w:t>
      </w:r>
      <w:r w:rsidR="0039042E">
        <w:t>significatif</w:t>
      </w:r>
      <w:r w:rsidR="00B9597E">
        <w:t xml:space="preserve"> sur </w:t>
      </w:r>
      <w:r w:rsidR="00E60AF1">
        <w:t>l’exposition au midazolam administré par voie intraveineuse.</w:t>
      </w:r>
      <w:r w:rsidRPr="00AD464F">
        <w:t xml:space="preserve"> </w:t>
      </w:r>
      <w:r>
        <w:t>Par</w:t>
      </w:r>
      <w:r w:rsidRPr="00AD464F">
        <w:t xml:space="preserve"> conséquen</w:t>
      </w:r>
      <w:r>
        <w:t>t</w:t>
      </w:r>
      <w:r w:rsidRPr="00AD464F">
        <w:t xml:space="preserve">, le pirtobrutinib </w:t>
      </w:r>
      <w:r w:rsidR="00334AA3">
        <w:t xml:space="preserve">peut </w:t>
      </w:r>
      <w:r w:rsidRPr="00AD464F">
        <w:t>augmenter les concentrations plasmatiques des substrats du CYP</w:t>
      </w:r>
      <w:r w:rsidR="0039042E">
        <w:t>3A</w:t>
      </w:r>
      <w:r>
        <w:t xml:space="preserve">. Si l’administration concomitante avec </w:t>
      </w:r>
      <w:r w:rsidR="005424C2">
        <w:t xml:space="preserve">des </w:t>
      </w:r>
      <w:r>
        <w:t>substrat</w:t>
      </w:r>
      <w:r w:rsidR="005424C2">
        <w:t>s</w:t>
      </w:r>
      <w:r>
        <w:t xml:space="preserve"> du CYP</w:t>
      </w:r>
      <w:r w:rsidR="0039042E">
        <w:t>3A</w:t>
      </w:r>
      <w:r>
        <w:t xml:space="preserve"> à index thérapeutique étroit (par exemple, </w:t>
      </w:r>
      <w:r w:rsidR="00DF7566">
        <w:t>alfentanil, midazolam, tacrolimus</w:t>
      </w:r>
      <w:r>
        <w:t>) ne peut être évitée, une surveillance clinique étroite doit être envisagée</w:t>
      </w:r>
      <w:r w:rsidRPr="00AD464F">
        <w:rPr>
          <w:rFonts w:ascii="Segoe UI" w:hAnsi="Segoe UI"/>
        </w:rPr>
        <w:t>.</w:t>
      </w:r>
    </w:p>
    <w:p w14:paraId="4DDC456C" w14:textId="77777777" w:rsidR="002D6EEE" w:rsidRPr="00AD464F" w:rsidRDefault="002D6EEE" w:rsidP="00204AAB">
      <w:pPr>
        <w:spacing w:line="240" w:lineRule="auto"/>
      </w:pPr>
    </w:p>
    <w:p w14:paraId="3C13DA72" w14:textId="6931A635" w:rsidR="00812D16" w:rsidRDefault="003E7892" w:rsidP="009377E5">
      <w:pPr>
        <w:keepNext/>
        <w:spacing w:line="240" w:lineRule="auto"/>
        <w:rPr>
          <w:b/>
        </w:rPr>
      </w:pPr>
      <w:bookmarkStart w:id="2" w:name="_Hlk120798092"/>
      <w:r w:rsidRPr="00C373B6">
        <w:rPr>
          <w:b/>
        </w:rPr>
        <w:lastRenderedPageBreak/>
        <w:t>4.6</w:t>
      </w:r>
      <w:r w:rsidRPr="00C373B6">
        <w:rPr>
          <w:b/>
        </w:rPr>
        <w:tab/>
        <w:t>Fertilité, grossesse et allaitement</w:t>
      </w:r>
    </w:p>
    <w:p w14:paraId="30C21BCB" w14:textId="77777777" w:rsidR="003E7892" w:rsidRPr="00AD464F" w:rsidRDefault="003E7892" w:rsidP="009377E5">
      <w:pPr>
        <w:keepNext/>
        <w:spacing w:line="240" w:lineRule="auto"/>
        <w:rPr>
          <w:noProof/>
          <w:szCs w:val="22"/>
        </w:rPr>
      </w:pPr>
    </w:p>
    <w:bookmarkEnd w:id="2"/>
    <w:p w14:paraId="17990899" w14:textId="4236472A" w:rsidR="00107F0F" w:rsidRPr="00AD464F" w:rsidRDefault="00A8299E" w:rsidP="00107F0F">
      <w:pPr>
        <w:keepNext/>
        <w:spacing w:line="240" w:lineRule="auto"/>
        <w:rPr>
          <w:u w:val="single"/>
        </w:rPr>
      </w:pPr>
      <w:r>
        <w:rPr>
          <w:u w:val="single"/>
        </w:rPr>
        <w:t>F</w:t>
      </w:r>
      <w:r w:rsidR="00107F0F">
        <w:rPr>
          <w:u w:val="single"/>
        </w:rPr>
        <w:t>emmes</w:t>
      </w:r>
      <w:r w:rsidR="00107F0F" w:rsidRPr="00AD464F">
        <w:rPr>
          <w:u w:val="single"/>
        </w:rPr>
        <w:t xml:space="preserve"> en âge de procréer</w:t>
      </w:r>
      <w:r>
        <w:rPr>
          <w:u w:val="single"/>
        </w:rPr>
        <w:t>/</w:t>
      </w:r>
      <w:r w:rsidR="00107F0F">
        <w:rPr>
          <w:u w:val="single"/>
        </w:rPr>
        <w:t xml:space="preserve"> </w:t>
      </w:r>
      <w:r>
        <w:rPr>
          <w:u w:val="single"/>
        </w:rPr>
        <w:t xml:space="preserve">Contraception </w:t>
      </w:r>
      <w:r w:rsidR="00107F0F">
        <w:rPr>
          <w:u w:val="single"/>
        </w:rPr>
        <w:t>des hommes</w:t>
      </w:r>
      <w:r w:rsidR="00B75A25">
        <w:rPr>
          <w:u w:val="single"/>
        </w:rPr>
        <w:t xml:space="preserve"> et </w:t>
      </w:r>
      <w:r w:rsidR="00137563">
        <w:rPr>
          <w:u w:val="single"/>
        </w:rPr>
        <w:t>d</w:t>
      </w:r>
      <w:r w:rsidR="00B75A25">
        <w:rPr>
          <w:u w:val="single"/>
        </w:rPr>
        <w:t>es femmes</w:t>
      </w:r>
    </w:p>
    <w:p w14:paraId="64EBA66D" w14:textId="77777777" w:rsidR="00107F0F" w:rsidRPr="00AD464F" w:rsidRDefault="00107F0F" w:rsidP="00107F0F">
      <w:pPr>
        <w:keepNext/>
        <w:spacing w:line="240" w:lineRule="auto"/>
        <w:rPr>
          <w:noProof/>
          <w:szCs w:val="22"/>
          <w:u w:val="single"/>
        </w:rPr>
      </w:pPr>
    </w:p>
    <w:p w14:paraId="4FA0886E" w14:textId="5B73F7EC" w:rsidR="00B3588D" w:rsidRDefault="00107F0F" w:rsidP="00107F0F">
      <w:pPr>
        <w:spacing w:line="240" w:lineRule="auto"/>
      </w:pPr>
      <w:r w:rsidRPr="00AD464F">
        <w:t>D</w:t>
      </w:r>
      <w:r w:rsidR="00265F9F">
        <w:t>’</w:t>
      </w:r>
      <w:r w:rsidRPr="00AD464F">
        <w:t>après les données obtenues chez l</w:t>
      </w:r>
      <w:r w:rsidR="00265F9F">
        <w:t>’</w:t>
      </w:r>
      <w:r w:rsidRPr="00AD464F">
        <w:t xml:space="preserve">animal et </w:t>
      </w:r>
      <w:r>
        <w:t>la génotoxicité du pirtobrutinib, (voir rubrique</w:t>
      </w:r>
      <w:r w:rsidR="005A4497">
        <w:t> </w:t>
      </w:r>
      <w:r>
        <w:t>5.3)</w:t>
      </w:r>
      <w:r w:rsidRPr="00AD464F">
        <w:t>, le pirtobrutinib peut avoir des effets délétères sur le fœtus s’il est administré pendant la grossesse. Les femmes en âge de procréer doivent utiliser une méthode de contraception efficace pendant le traitement et pendant 5 semaines après la dernière dose de Jaypirca.</w:t>
      </w:r>
      <w:r>
        <w:t xml:space="preserve"> </w:t>
      </w:r>
      <w:r w:rsidRPr="000931DC">
        <w:t>Il est conseillé aux hommes d</w:t>
      </w:r>
      <w:r w:rsidR="00265F9F">
        <w:t>’</w:t>
      </w:r>
      <w:r w:rsidRPr="000931DC">
        <w:t xml:space="preserve">utiliser une méthode de contraception efficace et de ne pas </w:t>
      </w:r>
      <w:r>
        <w:t>concevoir</w:t>
      </w:r>
      <w:r w:rsidRPr="000931DC">
        <w:t xml:space="preserve"> d</w:t>
      </w:r>
      <w:r w:rsidR="00265F9F">
        <w:t>’</w:t>
      </w:r>
      <w:r w:rsidRPr="000931DC">
        <w:t>enfant pendant le traitement et pendant les 3</w:t>
      </w:r>
      <w:r w:rsidR="00265F9F">
        <w:t> </w:t>
      </w:r>
      <w:r w:rsidRPr="000931DC">
        <w:t xml:space="preserve">mois qui suivent la dernière dose de Jaypirca (voir </w:t>
      </w:r>
      <w:r>
        <w:t>rubrique</w:t>
      </w:r>
      <w:r w:rsidR="0032404D">
        <w:t> </w:t>
      </w:r>
      <w:r w:rsidRPr="000931DC">
        <w:t>4.</w:t>
      </w:r>
      <w:r w:rsidR="00694A82">
        <w:t>4</w:t>
      </w:r>
      <w:r w:rsidRPr="000931DC">
        <w:t>).</w:t>
      </w:r>
    </w:p>
    <w:p w14:paraId="2F0EE1FF" w14:textId="77777777" w:rsidR="00107F0F" w:rsidRPr="00AD464F" w:rsidRDefault="00107F0F" w:rsidP="00107F0F">
      <w:pPr>
        <w:spacing w:line="240" w:lineRule="auto"/>
        <w:rPr>
          <w:noProof/>
          <w:szCs w:val="22"/>
        </w:rPr>
      </w:pPr>
    </w:p>
    <w:p w14:paraId="60B008D3" w14:textId="69DA08F1" w:rsidR="00812D16" w:rsidRPr="00AD464F" w:rsidRDefault="00617FEB" w:rsidP="005B75E5">
      <w:pPr>
        <w:keepNext/>
        <w:spacing w:line="240" w:lineRule="auto"/>
        <w:rPr>
          <w:szCs w:val="22"/>
          <w:u w:val="single"/>
        </w:rPr>
      </w:pPr>
      <w:r w:rsidRPr="00AD464F">
        <w:rPr>
          <w:u w:val="single"/>
        </w:rPr>
        <w:t>Grossesse</w:t>
      </w:r>
    </w:p>
    <w:p w14:paraId="6C95EE4C" w14:textId="77777777" w:rsidR="00272CC2" w:rsidRPr="00AD464F" w:rsidRDefault="00272CC2" w:rsidP="009377E5">
      <w:pPr>
        <w:keepNext/>
        <w:spacing w:line="240" w:lineRule="auto"/>
        <w:rPr>
          <w:noProof/>
          <w:szCs w:val="22"/>
        </w:rPr>
      </w:pPr>
    </w:p>
    <w:p w14:paraId="332B4E4D" w14:textId="472BB8EA" w:rsidR="00D270AA" w:rsidRPr="00AD464F" w:rsidRDefault="00E47D30" w:rsidP="00CD1BEA">
      <w:pPr>
        <w:tabs>
          <w:tab w:val="clear" w:pos="567"/>
        </w:tabs>
        <w:autoSpaceDE w:val="0"/>
        <w:autoSpaceDN w:val="0"/>
        <w:adjustRightInd w:val="0"/>
        <w:spacing w:line="240" w:lineRule="auto"/>
        <w:rPr>
          <w:noProof/>
          <w:szCs w:val="22"/>
        </w:rPr>
      </w:pPr>
      <w:r w:rsidRPr="00AD464F">
        <w:t>Il n</w:t>
      </w:r>
      <w:r w:rsidR="00265F9F">
        <w:t>’</w:t>
      </w:r>
      <w:r w:rsidRPr="00AD464F">
        <w:t>existe aucune donnée concernant l</w:t>
      </w:r>
      <w:r w:rsidR="00265F9F">
        <w:t>’</w:t>
      </w:r>
      <w:r w:rsidRPr="00AD464F">
        <w:t>utilisation de Jaypirca chez la femme enceinte.</w:t>
      </w:r>
      <w:r w:rsidRPr="00AD464F">
        <w:rPr>
          <w:u w:val="single"/>
        </w:rPr>
        <w:t xml:space="preserve"> </w:t>
      </w:r>
      <w:r w:rsidRPr="00AD464F">
        <w:t>Des études chez l</w:t>
      </w:r>
      <w:r w:rsidR="00265F9F">
        <w:t>’</w:t>
      </w:r>
      <w:r w:rsidRPr="00AD464F">
        <w:t>animal ont mis en évidence une toxicité sur la reproduction (voir rubrique</w:t>
      </w:r>
      <w:r w:rsidR="002A4F8E">
        <w:t> </w:t>
      </w:r>
      <w:r w:rsidRPr="00AD464F">
        <w:t xml:space="preserve">5.3). Jaypirca </w:t>
      </w:r>
      <w:r w:rsidR="00694A82">
        <w:t>ne doit pas être</w:t>
      </w:r>
      <w:r w:rsidRPr="00AD464F">
        <w:t xml:space="preserve"> </w:t>
      </w:r>
      <w:r w:rsidR="00BB2388">
        <w:t xml:space="preserve">utilisé </w:t>
      </w:r>
      <w:r w:rsidRPr="00AD464F">
        <w:t>pendant la grossesse</w:t>
      </w:r>
      <w:r w:rsidRPr="00AD464F">
        <w:rPr>
          <w:i/>
        </w:rPr>
        <w:t>.</w:t>
      </w:r>
    </w:p>
    <w:p w14:paraId="460639F1" w14:textId="77777777" w:rsidR="00D270AA" w:rsidRPr="00AD464F" w:rsidRDefault="00D270AA" w:rsidP="00204AAB">
      <w:pPr>
        <w:spacing w:line="240" w:lineRule="auto"/>
        <w:rPr>
          <w:noProof/>
          <w:szCs w:val="22"/>
        </w:rPr>
      </w:pPr>
    </w:p>
    <w:p w14:paraId="5C4F7672" w14:textId="21BF2D36" w:rsidR="00812D16" w:rsidRPr="00AD464F" w:rsidRDefault="00617FEB" w:rsidP="00C64056">
      <w:pPr>
        <w:keepNext/>
        <w:spacing w:line="240" w:lineRule="auto"/>
        <w:rPr>
          <w:szCs w:val="22"/>
          <w:u w:val="single"/>
        </w:rPr>
      </w:pPr>
      <w:r w:rsidRPr="00AD464F">
        <w:rPr>
          <w:u w:val="single"/>
        </w:rPr>
        <w:t>Allaitement</w:t>
      </w:r>
    </w:p>
    <w:p w14:paraId="3F66FABB" w14:textId="77777777" w:rsidR="00272CC2" w:rsidRPr="00AD464F" w:rsidRDefault="00272CC2" w:rsidP="009377E5">
      <w:pPr>
        <w:keepNext/>
        <w:spacing w:line="240" w:lineRule="auto"/>
        <w:rPr>
          <w:noProof/>
          <w:szCs w:val="22"/>
        </w:rPr>
      </w:pPr>
    </w:p>
    <w:p w14:paraId="3B708777" w14:textId="7361C7A4" w:rsidR="00B3243F" w:rsidRPr="00AD464F" w:rsidRDefault="00386164" w:rsidP="009377E5">
      <w:pPr>
        <w:keepNext/>
        <w:tabs>
          <w:tab w:val="clear" w:pos="567"/>
        </w:tabs>
        <w:autoSpaceDE w:val="0"/>
        <w:autoSpaceDN w:val="0"/>
        <w:adjustRightInd w:val="0"/>
        <w:spacing w:line="240" w:lineRule="auto"/>
        <w:rPr>
          <w:rFonts w:eastAsia="SimSun"/>
          <w:szCs w:val="22"/>
        </w:rPr>
      </w:pPr>
      <w:r w:rsidRPr="00AD464F">
        <w:t xml:space="preserve">On ignore si le pirtobrutinib est excrété dans le lait maternel. </w:t>
      </w:r>
      <w:r w:rsidR="00515665">
        <w:t>Un risque pour</w:t>
      </w:r>
      <w:r w:rsidR="00DC379E">
        <w:t xml:space="preserve"> </w:t>
      </w:r>
      <w:r w:rsidRPr="00AD464F">
        <w:t>l</w:t>
      </w:r>
      <w:r w:rsidR="00265F9F">
        <w:t>’</w:t>
      </w:r>
      <w:r w:rsidRPr="00AD464F">
        <w:t>enfant allaité</w:t>
      </w:r>
      <w:r w:rsidR="00DC379E">
        <w:t xml:space="preserve"> ne peut être exclu</w:t>
      </w:r>
      <w:r w:rsidRPr="00AD464F">
        <w:t xml:space="preserve">. L’allaitement doit être </w:t>
      </w:r>
      <w:r w:rsidR="00DC379E">
        <w:t>interrompu</w:t>
      </w:r>
      <w:r w:rsidR="00DC379E" w:rsidRPr="00AD464F">
        <w:t xml:space="preserve"> </w:t>
      </w:r>
      <w:r w:rsidRPr="00AD464F">
        <w:t xml:space="preserve">pendant le traitement par Jaypirca et pendant une semaine après la dernière dose de Jaypirca. </w:t>
      </w:r>
    </w:p>
    <w:p w14:paraId="7720C68E" w14:textId="77777777" w:rsidR="00D270AA" w:rsidRPr="00AD464F" w:rsidRDefault="00D270AA" w:rsidP="00204AAB">
      <w:pPr>
        <w:spacing w:line="240" w:lineRule="auto"/>
        <w:rPr>
          <w:noProof/>
          <w:szCs w:val="22"/>
        </w:rPr>
      </w:pPr>
    </w:p>
    <w:p w14:paraId="6F7FCD8D" w14:textId="4EDF389A" w:rsidR="00812D16" w:rsidRPr="00AD464F" w:rsidRDefault="00617FEB" w:rsidP="00204AAB">
      <w:pPr>
        <w:spacing w:line="240" w:lineRule="auto"/>
        <w:rPr>
          <w:szCs w:val="22"/>
          <w:u w:val="single"/>
        </w:rPr>
      </w:pPr>
      <w:r w:rsidRPr="00AD464F">
        <w:rPr>
          <w:u w:val="single"/>
        </w:rPr>
        <w:t>Fertilité</w:t>
      </w:r>
    </w:p>
    <w:p w14:paraId="648B5BD0" w14:textId="77777777" w:rsidR="00272CC2" w:rsidRPr="00AD464F" w:rsidRDefault="00272CC2" w:rsidP="00204AAB">
      <w:pPr>
        <w:spacing w:line="240" w:lineRule="auto"/>
        <w:rPr>
          <w:noProof/>
          <w:szCs w:val="22"/>
        </w:rPr>
      </w:pPr>
    </w:p>
    <w:p w14:paraId="56951109" w14:textId="48F23768" w:rsidR="00D270AA" w:rsidRPr="00AD464F" w:rsidRDefault="00386164" w:rsidP="00386164">
      <w:pPr>
        <w:spacing w:line="240" w:lineRule="auto"/>
        <w:rPr>
          <w:noProof/>
          <w:szCs w:val="22"/>
        </w:rPr>
      </w:pPr>
      <w:r w:rsidRPr="00AD464F">
        <w:t>Il n</w:t>
      </w:r>
      <w:r w:rsidR="00265F9F">
        <w:t>’</w:t>
      </w:r>
      <w:r w:rsidRPr="00AD464F">
        <w:t xml:space="preserve">y a pas de données </w:t>
      </w:r>
      <w:r w:rsidR="00CC4935">
        <w:t>concernant</w:t>
      </w:r>
      <w:r w:rsidRPr="00AD464F">
        <w:t xml:space="preserve"> l</w:t>
      </w:r>
      <w:r w:rsidR="00265F9F">
        <w:t>’</w:t>
      </w:r>
      <w:r w:rsidRPr="00AD464F">
        <w:t xml:space="preserve">effet du pirtobrutinib sur la fertilité humaine. </w:t>
      </w:r>
    </w:p>
    <w:p w14:paraId="14FD87C5" w14:textId="77777777" w:rsidR="00812D16" w:rsidRPr="00AD464F" w:rsidRDefault="00812D16" w:rsidP="00204AAB">
      <w:pPr>
        <w:spacing w:line="240" w:lineRule="auto"/>
        <w:rPr>
          <w:i/>
          <w:noProof/>
          <w:szCs w:val="22"/>
        </w:rPr>
      </w:pPr>
    </w:p>
    <w:p w14:paraId="659F60B7" w14:textId="710B203A" w:rsidR="00445C33" w:rsidRPr="00B74A3B" w:rsidRDefault="00445C33" w:rsidP="00445C33">
      <w:pPr>
        <w:keepNext/>
        <w:spacing w:line="240" w:lineRule="auto"/>
        <w:ind w:left="567" w:hanging="567"/>
        <w:outlineLvl w:val="0"/>
        <w:rPr>
          <w:noProof/>
        </w:rPr>
      </w:pPr>
      <w:r w:rsidRPr="00B74A3B">
        <w:rPr>
          <w:b/>
        </w:rPr>
        <w:t>4.7</w:t>
      </w:r>
      <w:r w:rsidRPr="00B74A3B">
        <w:rPr>
          <w:b/>
        </w:rPr>
        <w:tab/>
        <w:t>Effets sur l’aptitude à conduire des véhicules et à utiliser des machines</w:t>
      </w:r>
      <w:r w:rsidR="00D944F9">
        <w:rPr>
          <w:b/>
        </w:rPr>
        <w:fldChar w:fldCharType="begin"/>
      </w:r>
      <w:r w:rsidR="00D944F9">
        <w:rPr>
          <w:b/>
        </w:rPr>
        <w:instrText xml:space="preserve"> DOCVARIABLE vault_nd_50926c94-0ffc-4398-9afc-d9d016264205 \* MERGEFORMAT </w:instrText>
      </w:r>
      <w:r w:rsidR="00D944F9">
        <w:rPr>
          <w:b/>
        </w:rPr>
        <w:fldChar w:fldCharType="separate"/>
      </w:r>
      <w:r w:rsidR="00D944F9">
        <w:rPr>
          <w:b/>
        </w:rPr>
        <w:t xml:space="preserve"> </w:t>
      </w:r>
      <w:r w:rsidR="00D944F9">
        <w:rPr>
          <w:b/>
        </w:rPr>
        <w:fldChar w:fldCharType="end"/>
      </w:r>
    </w:p>
    <w:p w14:paraId="21D1066D" w14:textId="77777777" w:rsidR="00812D16" w:rsidRPr="00445C33" w:rsidRDefault="00812D16" w:rsidP="009377E5">
      <w:pPr>
        <w:keepNext/>
        <w:spacing w:line="240" w:lineRule="auto"/>
        <w:rPr>
          <w:noProof/>
          <w:szCs w:val="22"/>
        </w:rPr>
      </w:pPr>
    </w:p>
    <w:p w14:paraId="6AF03905" w14:textId="229C0E52" w:rsidR="00812D16" w:rsidRPr="00AD464F" w:rsidRDefault="00E619E1" w:rsidP="009377E5">
      <w:pPr>
        <w:keepNext/>
        <w:spacing w:line="240" w:lineRule="auto"/>
        <w:rPr>
          <w:noProof/>
          <w:szCs w:val="22"/>
        </w:rPr>
      </w:pPr>
      <w:r w:rsidRPr="00AD464F">
        <w:t xml:space="preserve">Jaypirca </w:t>
      </w:r>
      <w:r w:rsidR="008A5DD8">
        <w:t>a</w:t>
      </w:r>
      <w:r w:rsidR="00C33A06">
        <w:t xml:space="preserve"> un</w:t>
      </w:r>
      <w:r w:rsidR="007168DA">
        <w:t>e</w:t>
      </w:r>
      <w:r w:rsidR="00C33A06">
        <w:t xml:space="preserve"> </w:t>
      </w:r>
      <w:r w:rsidR="007168DA">
        <w:t>influence</w:t>
      </w:r>
      <w:r w:rsidR="007168DA" w:rsidRPr="00AD464F">
        <w:t xml:space="preserve"> </w:t>
      </w:r>
      <w:r w:rsidR="003B0D5A">
        <w:t>mineur</w:t>
      </w:r>
      <w:r w:rsidR="007168DA">
        <w:t>e</w:t>
      </w:r>
      <w:r w:rsidRPr="00AD464F">
        <w:t xml:space="preserve"> sur l’aptitude à conduire des véhicules et à utiliser des machines. </w:t>
      </w:r>
      <w:r w:rsidR="003B0D5A">
        <w:t>U</w:t>
      </w:r>
      <w:r w:rsidR="00E33817">
        <w:t>ne</w:t>
      </w:r>
      <w:r w:rsidRPr="00AD464F">
        <w:t xml:space="preserve"> fatigue, </w:t>
      </w:r>
      <w:r w:rsidR="00C13D7C">
        <w:t>un</w:t>
      </w:r>
      <w:r w:rsidRPr="00AD464F">
        <w:t xml:space="preserve"> étourdissement et une asthénie ont été rapportés chez certains patients pendant le traitement par Jaypirca. Ces effets doivent être pris en compte lors de l</w:t>
      </w:r>
      <w:r w:rsidR="00265F9F">
        <w:t>’</w:t>
      </w:r>
      <w:r w:rsidRPr="00AD464F">
        <w:t xml:space="preserve">évaluation de l’aptitude du patient à conduire des véhicules ou à utiliser des machines. </w:t>
      </w:r>
    </w:p>
    <w:p w14:paraId="364E4C3E" w14:textId="6288854E" w:rsidR="00812D16" w:rsidRPr="00AD464F" w:rsidRDefault="00812D16" w:rsidP="00204AAB">
      <w:pPr>
        <w:spacing w:line="240" w:lineRule="auto"/>
        <w:rPr>
          <w:noProof/>
          <w:szCs w:val="22"/>
        </w:rPr>
      </w:pPr>
    </w:p>
    <w:p w14:paraId="54E331F5" w14:textId="77779E25" w:rsidR="00600B46" w:rsidRPr="00B74A3B" w:rsidRDefault="00600B46" w:rsidP="00600B46">
      <w:pPr>
        <w:keepNext/>
        <w:spacing w:line="240" w:lineRule="auto"/>
        <w:outlineLvl w:val="0"/>
        <w:rPr>
          <w:b/>
          <w:noProof/>
        </w:rPr>
      </w:pPr>
      <w:r w:rsidRPr="00B74A3B">
        <w:rPr>
          <w:b/>
        </w:rPr>
        <w:t>4.8</w:t>
      </w:r>
      <w:r w:rsidRPr="00B74A3B">
        <w:rPr>
          <w:b/>
        </w:rPr>
        <w:tab/>
        <w:t>Effets indésirables</w:t>
      </w:r>
      <w:r w:rsidR="00D944F9">
        <w:rPr>
          <w:b/>
        </w:rPr>
        <w:fldChar w:fldCharType="begin"/>
      </w:r>
      <w:r w:rsidR="00D944F9">
        <w:rPr>
          <w:b/>
        </w:rPr>
        <w:instrText xml:space="preserve"> DOCVARIABLE vault_nd_222f2d1d-43e6-4ded-b803-fbffd1d16f0c \* MERGEFORMAT </w:instrText>
      </w:r>
      <w:r w:rsidR="00D944F9">
        <w:rPr>
          <w:b/>
        </w:rPr>
        <w:fldChar w:fldCharType="separate"/>
      </w:r>
      <w:r w:rsidR="00D944F9">
        <w:rPr>
          <w:b/>
        </w:rPr>
        <w:t xml:space="preserve"> </w:t>
      </w:r>
      <w:r w:rsidR="00D944F9">
        <w:rPr>
          <w:b/>
        </w:rPr>
        <w:fldChar w:fldCharType="end"/>
      </w:r>
    </w:p>
    <w:p w14:paraId="627DB129" w14:textId="3FBF07B0" w:rsidR="00812D16" w:rsidRPr="00AD464F" w:rsidRDefault="00812D16" w:rsidP="009377E5">
      <w:pPr>
        <w:keepNext/>
        <w:autoSpaceDE w:val="0"/>
        <w:autoSpaceDN w:val="0"/>
        <w:adjustRightInd w:val="0"/>
        <w:spacing w:line="240" w:lineRule="auto"/>
        <w:jc w:val="both"/>
        <w:rPr>
          <w:noProof/>
          <w:szCs w:val="22"/>
        </w:rPr>
      </w:pPr>
    </w:p>
    <w:p w14:paraId="1E96D2B7" w14:textId="376558C2" w:rsidR="008638E4" w:rsidRPr="00AD464F" w:rsidRDefault="001827CE" w:rsidP="00744785">
      <w:pPr>
        <w:keepNext/>
        <w:autoSpaceDE w:val="0"/>
        <w:autoSpaceDN w:val="0"/>
        <w:adjustRightInd w:val="0"/>
        <w:spacing w:line="240" w:lineRule="auto"/>
        <w:jc w:val="both"/>
        <w:rPr>
          <w:noProof/>
          <w:szCs w:val="22"/>
          <w:u w:val="single"/>
        </w:rPr>
      </w:pPr>
      <w:r w:rsidRPr="00AD464F">
        <w:rPr>
          <w:u w:val="single"/>
        </w:rPr>
        <w:t>Résumé du profil de sécurité</w:t>
      </w:r>
    </w:p>
    <w:p w14:paraId="460AD94D" w14:textId="77777777" w:rsidR="00272CC2" w:rsidRPr="00AD464F" w:rsidRDefault="00272CC2" w:rsidP="009377E5">
      <w:pPr>
        <w:keepNext/>
        <w:autoSpaceDE w:val="0"/>
        <w:autoSpaceDN w:val="0"/>
        <w:adjustRightInd w:val="0"/>
        <w:spacing w:line="240" w:lineRule="auto"/>
        <w:jc w:val="both"/>
        <w:rPr>
          <w:noProof/>
          <w:szCs w:val="22"/>
          <w:u w:val="single"/>
        </w:rPr>
      </w:pPr>
    </w:p>
    <w:p w14:paraId="6918CB96" w14:textId="4E16EA65" w:rsidR="00721C1A" w:rsidRDefault="00645914" w:rsidP="009377E5">
      <w:pPr>
        <w:keepNext/>
        <w:autoSpaceDE w:val="0"/>
        <w:autoSpaceDN w:val="0"/>
        <w:adjustRightInd w:val="0"/>
        <w:spacing w:line="240" w:lineRule="auto"/>
      </w:pPr>
      <w:r w:rsidRPr="00AD464F">
        <w:t>Les effets indésirables les plus fréquents, tous grades confondus, sont les suivants :</w:t>
      </w:r>
      <w:r w:rsidR="00716DE2">
        <w:t xml:space="preserve"> neutropénie (27,7</w:t>
      </w:r>
      <w:r w:rsidR="007A67B7">
        <w:t> %),</w:t>
      </w:r>
      <w:r w:rsidRPr="00AD464F">
        <w:t xml:space="preserve"> fatigue (26,</w:t>
      </w:r>
      <w:r w:rsidR="007A67B7">
        <w:t>2</w:t>
      </w:r>
      <w:r w:rsidRPr="00AD464F">
        <w:t> %), diarrhée (</w:t>
      </w:r>
      <w:r w:rsidR="007A67B7">
        <w:t>23,8</w:t>
      </w:r>
      <w:r w:rsidRPr="00AD464F">
        <w:t> %)</w:t>
      </w:r>
      <w:r w:rsidR="00954AC7">
        <w:t xml:space="preserve">, anémie (20,7 %), </w:t>
      </w:r>
      <w:r w:rsidR="00914174">
        <w:t>éruption cutanée</w:t>
      </w:r>
      <w:r w:rsidR="00954AC7">
        <w:t xml:space="preserve"> (18,4 %)</w:t>
      </w:r>
      <w:r w:rsidRPr="00AD464F">
        <w:t xml:space="preserve"> et contusion (</w:t>
      </w:r>
      <w:r w:rsidR="00954AC7">
        <w:t>17,8</w:t>
      </w:r>
      <w:r w:rsidRPr="00AD464F">
        <w:t> %).</w:t>
      </w:r>
    </w:p>
    <w:p w14:paraId="7CC190E0" w14:textId="77777777" w:rsidR="003B0D5A" w:rsidRPr="00AD464F" w:rsidRDefault="003B0D5A" w:rsidP="009377E5">
      <w:pPr>
        <w:keepNext/>
        <w:autoSpaceDE w:val="0"/>
        <w:autoSpaceDN w:val="0"/>
        <w:adjustRightInd w:val="0"/>
        <w:spacing w:line="240" w:lineRule="auto"/>
        <w:rPr>
          <w:noProof/>
          <w:szCs w:val="22"/>
        </w:rPr>
      </w:pPr>
    </w:p>
    <w:p w14:paraId="51B54677" w14:textId="09893C94" w:rsidR="003E36EB" w:rsidRDefault="00666459" w:rsidP="009377E5">
      <w:pPr>
        <w:keepNext/>
        <w:autoSpaceDE w:val="0"/>
        <w:autoSpaceDN w:val="0"/>
        <w:adjustRightInd w:val="0"/>
        <w:spacing w:line="240" w:lineRule="auto"/>
      </w:pPr>
      <w:r w:rsidRPr="00AD464F">
        <w:t>Les effets indésirables sévères (Grade ≥ 3) les plus fréquents sont les suivants : neutropénie (</w:t>
      </w:r>
      <w:r w:rsidR="003B585E">
        <w:t>23,9</w:t>
      </w:r>
      <w:r w:rsidRPr="00AD464F">
        <w:t> %), anémie (</w:t>
      </w:r>
      <w:r w:rsidR="003B585E">
        <w:t>11,2</w:t>
      </w:r>
      <w:r w:rsidRPr="00AD464F">
        <w:t> %)</w:t>
      </w:r>
      <w:r w:rsidR="003B585E">
        <w:t>,</w:t>
      </w:r>
      <w:r w:rsidRPr="00AD464F">
        <w:t xml:space="preserve"> thrombocytopénie (</w:t>
      </w:r>
      <w:r w:rsidR="00146780">
        <w:t>9,7</w:t>
      </w:r>
      <w:r w:rsidRPr="00AD464F">
        <w:t> %)</w:t>
      </w:r>
      <w:r w:rsidR="00146780">
        <w:t xml:space="preserve"> et pneumonie (9,0 %)</w:t>
      </w:r>
      <w:r w:rsidRPr="00AD464F">
        <w:t>.</w:t>
      </w:r>
    </w:p>
    <w:p w14:paraId="2E794C8D" w14:textId="77777777" w:rsidR="003B0D5A" w:rsidRPr="00AD464F" w:rsidRDefault="003B0D5A" w:rsidP="009377E5">
      <w:pPr>
        <w:keepNext/>
        <w:autoSpaceDE w:val="0"/>
        <w:autoSpaceDN w:val="0"/>
        <w:adjustRightInd w:val="0"/>
        <w:spacing w:line="240" w:lineRule="auto"/>
        <w:rPr>
          <w:noProof/>
          <w:szCs w:val="22"/>
        </w:rPr>
      </w:pPr>
    </w:p>
    <w:p w14:paraId="1F179F5D" w14:textId="33BB91A6" w:rsidR="00764FA2" w:rsidRDefault="00645914" w:rsidP="009377E5">
      <w:pPr>
        <w:keepNext/>
        <w:autoSpaceDE w:val="0"/>
        <w:autoSpaceDN w:val="0"/>
        <w:adjustRightInd w:val="0"/>
        <w:spacing w:line="240" w:lineRule="auto"/>
      </w:pPr>
      <w:r w:rsidRPr="00AD464F">
        <w:t xml:space="preserve">La fréquence des arrêts de traitement en raison d’effets indésirables est de </w:t>
      </w:r>
      <w:r w:rsidR="003A28F9">
        <w:t>4,2</w:t>
      </w:r>
      <w:r w:rsidR="002C19D6" w:rsidRPr="00AD464F">
        <w:t> </w:t>
      </w:r>
      <w:r w:rsidRPr="00AD464F">
        <w:t>% et la fréquence des réductions de la dose en raison d</w:t>
      </w:r>
      <w:r w:rsidR="009D6BCA">
        <w:t>’</w:t>
      </w:r>
      <w:r w:rsidRPr="00AD464F">
        <w:t xml:space="preserve">effets indésirables est de </w:t>
      </w:r>
      <w:r w:rsidR="003A28F9">
        <w:t>4,8</w:t>
      </w:r>
      <w:r w:rsidRPr="00AD464F">
        <w:t> %.</w:t>
      </w:r>
    </w:p>
    <w:p w14:paraId="3D13D43D" w14:textId="77777777" w:rsidR="003B0D5A" w:rsidRPr="00AD464F" w:rsidRDefault="003B0D5A" w:rsidP="009377E5">
      <w:pPr>
        <w:keepNext/>
        <w:autoSpaceDE w:val="0"/>
        <w:autoSpaceDN w:val="0"/>
        <w:adjustRightInd w:val="0"/>
        <w:spacing w:line="240" w:lineRule="auto"/>
        <w:rPr>
          <w:szCs w:val="22"/>
        </w:rPr>
      </w:pPr>
    </w:p>
    <w:p w14:paraId="64322D48" w14:textId="19917039" w:rsidR="00171921" w:rsidRPr="00022F5B" w:rsidRDefault="00171921" w:rsidP="00171921">
      <w:pPr>
        <w:keepNext/>
        <w:autoSpaceDE w:val="0"/>
        <w:autoSpaceDN w:val="0"/>
        <w:adjustRightInd w:val="0"/>
        <w:spacing w:line="240" w:lineRule="auto"/>
        <w:rPr>
          <w:rStyle w:val="normaltextrun"/>
          <w:szCs w:val="22"/>
          <w:shd w:val="clear" w:color="auto" w:fill="FFFFFF"/>
        </w:rPr>
      </w:pPr>
      <w:r w:rsidRPr="00022F5B">
        <w:rPr>
          <w:rStyle w:val="normaltextrun"/>
          <w:szCs w:val="22"/>
          <w:shd w:val="clear" w:color="auto" w:fill="FFFFFF"/>
        </w:rPr>
        <w:t>Les effets indésirables les plus fréquents (rapportés chez plus de 2</w:t>
      </w:r>
      <w:r w:rsidR="00835806" w:rsidRPr="00022F5B">
        <w:rPr>
          <w:rStyle w:val="normaltextrun"/>
          <w:szCs w:val="22"/>
          <w:shd w:val="clear" w:color="auto" w:fill="FFFFFF"/>
        </w:rPr>
        <w:t> </w:t>
      </w:r>
      <w:r w:rsidRPr="00022F5B">
        <w:rPr>
          <w:rStyle w:val="normaltextrun"/>
          <w:szCs w:val="22"/>
          <w:shd w:val="clear" w:color="auto" w:fill="FFFFFF"/>
        </w:rPr>
        <w:t>patients) ayant entraîné une réduction de la dose sont les suivants : neutropénie (</w:t>
      </w:r>
      <w:r w:rsidR="00A17FAD" w:rsidRPr="00022F5B">
        <w:rPr>
          <w:rStyle w:val="normaltextrun"/>
          <w:szCs w:val="22"/>
          <w:shd w:val="clear" w:color="auto" w:fill="FFFFFF"/>
        </w:rPr>
        <w:t>2,5</w:t>
      </w:r>
      <w:r w:rsidRPr="00022F5B">
        <w:rPr>
          <w:rStyle w:val="normaltextrun"/>
          <w:szCs w:val="22"/>
          <w:shd w:val="clear" w:color="auto" w:fill="FFFFFF"/>
        </w:rPr>
        <w:t> %),</w:t>
      </w:r>
      <w:r w:rsidR="00A17FAD" w:rsidRPr="00022F5B">
        <w:rPr>
          <w:rStyle w:val="normaltextrun"/>
          <w:szCs w:val="22"/>
          <w:shd w:val="clear" w:color="auto" w:fill="FFFFFF"/>
        </w:rPr>
        <w:t xml:space="preserve"> </w:t>
      </w:r>
      <w:r w:rsidR="00914174" w:rsidRPr="00022F5B">
        <w:rPr>
          <w:rStyle w:val="normaltextrun"/>
          <w:szCs w:val="22"/>
          <w:shd w:val="clear" w:color="auto" w:fill="FFFFFF"/>
        </w:rPr>
        <w:t>éruption cutanée</w:t>
      </w:r>
      <w:r w:rsidR="00A17FAD" w:rsidRPr="00022F5B">
        <w:rPr>
          <w:rStyle w:val="normaltextrun"/>
          <w:szCs w:val="22"/>
          <w:shd w:val="clear" w:color="auto" w:fill="FFFFFF"/>
        </w:rPr>
        <w:t xml:space="preserve"> (0,6 %), diarrhée (0,4 %)</w:t>
      </w:r>
      <w:r w:rsidR="00914174" w:rsidRPr="00022F5B">
        <w:rPr>
          <w:rStyle w:val="normaltextrun"/>
          <w:szCs w:val="22"/>
          <w:shd w:val="clear" w:color="auto" w:fill="FFFFFF"/>
        </w:rPr>
        <w:t>,</w:t>
      </w:r>
      <w:r w:rsidRPr="00022F5B">
        <w:rPr>
          <w:rStyle w:val="normaltextrun"/>
          <w:szCs w:val="22"/>
          <w:shd w:val="clear" w:color="auto" w:fill="FFFFFF"/>
        </w:rPr>
        <w:t xml:space="preserve"> fatigue (0,4 %)</w:t>
      </w:r>
      <w:r w:rsidR="00914174" w:rsidRPr="00022F5B">
        <w:rPr>
          <w:rStyle w:val="normaltextrun"/>
          <w:szCs w:val="22"/>
          <w:shd w:val="clear" w:color="auto" w:fill="FFFFFF"/>
        </w:rPr>
        <w:t xml:space="preserve"> et</w:t>
      </w:r>
      <w:r w:rsidRPr="00022F5B">
        <w:rPr>
          <w:rStyle w:val="normaltextrun"/>
          <w:szCs w:val="22"/>
          <w:shd w:val="clear" w:color="auto" w:fill="FFFFFF"/>
        </w:rPr>
        <w:t xml:space="preserve"> thrombocytopénie (0,</w:t>
      </w:r>
      <w:r w:rsidR="00914174" w:rsidRPr="00022F5B">
        <w:rPr>
          <w:rStyle w:val="normaltextrun"/>
          <w:szCs w:val="22"/>
          <w:shd w:val="clear" w:color="auto" w:fill="FFFFFF"/>
        </w:rPr>
        <w:t>4</w:t>
      </w:r>
      <w:r w:rsidRPr="00022F5B">
        <w:rPr>
          <w:rStyle w:val="normaltextrun"/>
          <w:szCs w:val="22"/>
          <w:shd w:val="clear" w:color="auto" w:fill="FFFFFF"/>
        </w:rPr>
        <w:t> %). Les effets indésirables les plus fréquents (rapportés chez plus de 2</w:t>
      </w:r>
      <w:r w:rsidR="00835806" w:rsidRPr="00022F5B">
        <w:rPr>
          <w:rStyle w:val="normaltextrun"/>
          <w:szCs w:val="22"/>
          <w:shd w:val="clear" w:color="auto" w:fill="FFFFFF"/>
        </w:rPr>
        <w:t> </w:t>
      </w:r>
      <w:r w:rsidRPr="00022F5B">
        <w:rPr>
          <w:rStyle w:val="normaltextrun"/>
          <w:szCs w:val="22"/>
          <w:shd w:val="clear" w:color="auto" w:fill="FFFFFF"/>
        </w:rPr>
        <w:t>patients) ayant entraîné l'arrêt du traitement sont neutropénie (</w:t>
      </w:r>
      <w:r w:rsidR="00516BB9" w:rsidRPr="00022F5B">
        <w:rPr>
          <w:rStyle w:val="normaltextrun"/>
          <w:szCs w:val="22"/>
          <w:shd w:val="clear" w:color="auto" w:fill="FFFFFF"/>
        </w:rPr>
        <w:t>1,0</w:t>
      </w:r>
      <w:r w:rsidRPr="00022F5B">
        <w:rPr>
          <w:rStyle w:val="normaltextrun"/>
          <w:szCs w:val="22"/>
          <w:shd w:val="clear" w:color="auto" w:fill="FFFFFF"/>
        </w:rPr>
        <w:t> %)</w:t>
      </w:r>
      <w:r w:rsidR="00516BB9" w:rsidRPr="00022F5B">
        <w:rPr>
          <w:rStyle w:val="normaltextrun"/>
          <w:szCs w:val="22"/>
          <w:shd w:val="clear" w:color="auto" w:fill="FFFFFF"/>
        </w:rPr>
        <w:t>, anémie (1,0 %), pneumonie (0,9 %)</w:t>
      </w:r>
      <w:r w:rsidR="00301237" w:rsidRPr="00022F5B">
        <w:rPr>
          <w:rStyle w:val="normaltextrun"/>
          <w:szCs w:val="22"/>
          <w:shd w:val="clear" w:color="auto" w:fill="FFFFFF"/>
        </w:rPr>
        <w:t>, thrombocytopénie (0,7</w:t>
      </w:r>
      <w:r w:rsidR="00301237" w:rsidRPr="00642E07">
        <w:rPr>
          <w:rStyle w:val="normaltextrun"/>
          <w:szCs w:val="22"/>
          <w:shd w:val="clear" w:color="auto" w:fill="FFFFFF"/>
        </w:rPr>
        <w:t> %)</w:t>
      </w:r>
      <w:r w:rsidR="008B2BA4" w:rsidRPr="00642E07">
        <w:rPr>
          <w:rStyle w:val="normaltextrun"/>
          <w:szCs w:val="22"/>
          <w:shd w:val="clear" w:color="auto" w:fill="FFFFFF"/>
        </w:rPr>
        <w:t xml:space="preserve"> et</w:t>
      </w:r>
      <w:r w:rsidR="00301237" w:rsidRPr="00642E07">
        <w:rPr>
          <w:rStyle w:val="normaltextrun"/>
          <w:szCs w:val="22"/>
          <w:shd w:val="clear" w:color="auto" w:fill="FFFFFF"/>
        </w:rPr>
        <w:t xml:space="preserve"> éruption cutanée (</w:t>
      </w:r>
      <w:r w:rsidR="00746E6D" w:rsidRPr="00642E07">
        <w:rPr>
          <w:rStyle w:val="normaltextrun"/>
          <w:szCs w:val="22"/>
          <w:shd w:val="clear" w:color="auto" w:fill="FFFFFF"/>
        </w:rPr>
        <w:t>0,4 %)</w:t>
      </w:r>
      <w:r w:rsidRPr="00022F5B">
        <w:rPr>
          <w:rStyle w:val="normaltextrun"/>
          <w:szCs w:val="22"/>
          <w:shd w:val="clear" w:color="auto" w:fill="FFFFFF"/>
        </w:rPr>
        <w:t>.</w:t>
      </w:r>
    </w:p>
    <w:p w14:paraId="0D494790" w14:textId="77777777" w:rsidR="00E4607B" w:rsidRPr="00AD464F" w:rsidRDefault="00E4607B" w:rsidP="00171921">
      <w:pPr>
        <w:keepNext/>
        <w:autoSpaceDE w:val="0"/>
        <w:autoSpaceDN w:val="0"/>
        <w:adjustRightInd w:val="0"/>
        <w:spacing w:line="240" w:lineRule="auto"/>
        <w:rPr>
          <w:rStyle w:val="normaltextrun"/>
          <w:szCs w:val="22"/>
          <w:shd w:val="clear" w:color="auto" w:fill="FFFFFF"/>
        </w:rPr>
      </w:pPr>
    </w:p>
    <w:p w14:paraId="74000B01" w14:textId="2ABDAE9D" w:rsidR="00171921" w:rsidRDefault="00171921" w:rsidP="00171921">
      <w:pPr>
        <w:keepNext/>
        <w:autoSpaceDE w:val="0"/>
        <w:autoSpaceDN w:val="0"/>
        <w:adjustRightInd w:val="0"/>
        <w:spacing w:line="240" w:lineRule="auto"/>
        <w:rPr>
          <w:rStyle w:val="normaltextrun"/>
          <w:shd w:val="clear" w:color="auto" w:fill="FFFFFF"/>
        </w:rPr>
      </w:pPr>
      <w:r w:rsidRPr="00AD464F">
        <w:rPr>
          <w:rStyle w:val="normaltextrun"/>
          <w:shd w:val="clear" w:color="auto" w:fill="FFFFFF"/>
        </w:rPr>
        <w:t xml:space="preserve">Des effets indésirables graves associés à Jaypirca sont survenus chez </w:t>
      </w:r>
      <w:r w:rsidR="00D55ADD">
        <w:rPr>
          <w:rStyle w:val="normaltextrun"/>
          <w:shd w:val="clear" w:color="auto" w:fill="FFFFFF"/>
        </w:rPr>
        <w:t>19,4</w:t>
      </w:r>
      <w:r w:rsidRPr="00AD464F">
        <w:rPr>
          <w:rStyle w:val="normaltextrun"/>
          <w:shd w:val="clear" w:color="auto" w:fill="FFFFFF"/>
        </w:rPr>
        <w:t> % des patients et les effets indésirables graves les plus fréquents (survenus chez ≥ 1 % des patients) ont été pneumonie (</w:t>
      </w:r>
      <w:r w:rsidR="00D55ADD">
        <w:rPr>
          <w:rStyle w:val="normaltextrun"/>
          <w:shd w:val="clear" w:color="auto" w:fill="FFFFFF"/>
        </w:rPr>
        <w:t>8,0</w:t>
      </w:r>
      <w:r w:rsidRPr="00AD464F">
        <w:rPr>
          <w:rStyle w:val="normaltextrun"/>
          <w:shd w:val="clear" w:color="auto" w:fill="FFFFFF"/>
        </w:rPr>
        <w:t> %), neutropénie (</w:t>
      </w:r>
      <w:r w:rsidR="00BC5A46">
        <w:rPr>
          <w:rStyle w:val="normaltextrun"/>
          <w:shd w:val="clear" w:color="auto" w:fill="FFFFFF"/>
        </w:rPr>
        <w:t>3,2</w:t>
      </w:r>
      <w:r w:rsidRPr="00AD464F">
        <w:rPr>
          <w:rStyle w:val="normaltextrun"/>
          <w:shd w:val="clear" w:color="auto" w:fill="FFFFFF"/>
        </w:rPr>
        <w:t> %), anémie (</w:t>
      </w:r>
      <w:r w:rsidR="00BC5A46">
        <w:rPr>
          <w:rStyle w:val="normaltextrun"/>
          <w:shd w:val="clear" w:color="auto" w:fill="FFFFFF"/>
        </w:rPr>
        <w:t>2,6</w:t>
      </w:r>
      <w:r w:rsidRPr="00AD464F">
        <w:rPr>
          <w:rStyle w:val="normaltextrun"/>
          <w:shd w:val="clear" w:color="auto" w:fill="FFFFFF"/>
        </w:rPr>
        <w:t> %)</w:t>
      </w:r>
      <w:r w:rsidR="00345B1D">
        <w:rPr>
          <w:rStyle w:val="normaltextrun"/>
          <w:shd w:val="clear" w:color="auto" w:fill="FFFFFF"/>
        </w:rPr>
        <w:t>, fibrillation auriculaire/flutter auriculaire (1,3 %)</w:t>
      </w:r>
      <w:r w:rsidRPr="00AD464F">
        <w:rPr>
          <w:rStyle w:val="normaltextrun"/>
          <w:shd w:val="clear" w:color="auto" w:fill="FFFFFF"/>
        </w:rPr>
        <w:t xml:space="preserve"> et infection des voies urinaires (1,0 %).</w:t>
      </w:r>
    </w:p>
    <w:p w14:paraId="10F9A014" w14:textId="77777777" w:rsidR="00E4607B" w:rsidRPr="00AD464F" w:rsidRDefault="00E4607B" w:rsidP="00171921">
      <w:pPr>
        <w:keepNext/>
        <w:autoSpaceDE w:val="0"/>
        <w:autoSpaceDN w:val="0"/>
        <w:adjustRightInd w:val="0"/>
        <w:spacing w:line="240" w:lineRule="auto"/>
        <w:rPr>
          <w:rStyle w:val="normaltextrun"/>
          <w:shd w:val="clear" w:color="auto" w:fill="FFFFFF"/>
        </w:rPr>
      </w:pPr>
    </w:p>
    <w:p w14:paraId="111D23B0" w14:textId="51C80744" w:rsidR="00400304" w:rsidRPr="00AD464F" w:rsidRDefault="00171921" w:rsidP="00171921">
      <w:pPr>
        <w:keepNext/>
        <w:autoSpaceDE w:val="0"/>
        <w:autoSpaceDN w:val="0"/>
        <w:adjustRightInd w:val="0"/>
        <w:spacing w:line="240" w:lineRule="auto"/>
        <w:rPr>
          <w:rStyle w:val="normaltextrun"/>
          <w:szCs w:val="22"/>
          <w:shd w:val="clear" w:color="auto" w:fill="FFFFFF"/>
        </w:rPr>
      </w:pPr>
      <w:r w:rsidRPr="00AD464F">
        <w:rPr>
          <w:rStyle w:val="normaltextrun"/>
          <w:shd w:val="clear" w:color="auto" w:fill="FFFFFF"/>
        </w:rPr>
        <w:t xml:space="preserve">Des effets indésirables </w:t>
      </w:r>
      <w:r w:rsidR="00F36A9D">
        <w:rPr>
          <w:rStyle w:val="normaltextrun"/>
          <w:shd w:val="clear" w:color="auto" w:fill="FFFFFF"/>
        </w:rPr>
        <w:t>d’issue fatale</w:t>
      </w:r>
      <w:r w:rsidRPr="00AD464F">
        <w:rPr>
          <w:rStyle w:val="normaltextrun"/>
          <w:shd w:val="clear" w:color="auto" w:fill="FFFFFF"/>
        </w:rPr>
        <w:t xml:space="preserve"> ont été observés chez </w:t>
      </w:r>
      <w:r w:rsidR="00063D52">
        <w:rPr>
          <w:rStyle w:val="normaltextrun"/>
          <w:shd w:val="clear" w:color="auto" w:fill="FFFFFF"/>
        </w:rPr>
        <w:t>0,4</w:t>
      </w:r>
      <w:r w:rsidRPr="00AD464F">
        <w:rPr>
          <w:rStyle w:val="normaltextrun"/>
          <w:shd w:val="clear" w:color="auto" w:fill="FFFFFF"/>
        </w:rPr>
        <w:t> % des patients (</w:t>
      </w:r>
      <w:r w:rsidR="00063D52">
        <w:rPr>
          <w:rStyle w:val="normaltextrun"/>
          <w:shd w:val="clear" w:color="auto" w:fill="FFFFFF"/>
        </w:rPr>
        <w:t>3 </w:t>
      </w:r>
      <w:r w:rsidRPr="00AD464F">
        <w:rPr>
          <w:rStyle w:val="normaltextrun"/>
          <w:shd w:val="clear" w:color="auto" w:fill="FFFFFF"/>
        </w:rPr>
        <w:t>patients) pour pneumonie</w:t>
      </w:r>
      <w:r w:rsidR="00BB6631">
        <w:rPr>
          <w:rStyle w:val="normaltextrun"/>
          <w:shd w:val="clear" w:color="auto" w:fill="FFFFFF"/>
        </w:rPr>
        <w:t>,</w:t>
      </w:r>
      <w:r w:rsidRPr="00AD464F">
        <w:rPr>
          <w:rStyle w:val="normaltextrun"/>
          <w:shd w:val="clear" w:color="auto" w:fill="FFFFFF"/>
        </w:rPr>
        <w:t xml:space="preserve"> chez 0,</w:t>
      </w:r>
      <w:r w:rsidR="00BB6631">
        <w:rPr>
          <w:rStyle w:val="normaltextrun"/>
          <w:shd w:val="clear" w:color="auto" w:fill="FFFFFF"/>
        </w:rPr>
        <w:t>3</w:t>
      </w:r>
      <w:r w:rsidRPr="00AD464F">
        <w:rPr>
          <w:rStyle w:val="normaltextrun"/>
          <w:shd w:val="clear" w:color="auto" w:fill="FFFFFF"/>
        </w:rPr>
        <w:t> % des patients (</w:t>
      </w:r>
      <w:r w:rsidR="008C7C0F">
        <w:rPr>
          <w:rStyle w:val="normaltextrun"/>
          <w:shd w:val="clear" w:color="auto" w:fill="FFFFFF"/>
        </w:rPr>
        <w:t>2</w:t>
      </w:r>
      <w:r w:rsidR="004812CA">
        <w:rPr>
          <w:rStyle w:val="normaltextrun"/>
          <w:shd w:val="clear" w:color="auto" w:fill="FFFFFF"/>
        </w:rPr>
        <w:t> </w:t>
      </w:r>
      <w:r w:rsidRPr="00AD464F">
        <w:rPr>
          <w:rStyle w:val="normaltextrun"/>
          <w:shd w:val="clear" w:color="auto" w:fill="FFFFFF"/>
        </w:rPr>
        <w:t>patient</w:t>
      </w:r>
      <w:r w:rsidR="008C7C0F">
        <w:rPr>
          <w:rStyle w:val="normaltextrun"/>
          <w:shd w:val="clear" w:color="auto" w:fill="FFFFFF"/>
        </w:rPr>
        <w:t>s</w:t>
      </w:r>
      <w:r w:rsidRPr="00AD464F">
        <w:rPr>
          <w:rStyle w:val="normaltextrun"/>
          <w:shd w:val="clear" w:color="auto" w:fill="FFFFFF"/>
        </w:rPr>
        <w:t>) pour hémorragie</w:t>
      </w:r>
      <w:r w:rsidR="008C7C0F">
        <w:rPr>
          <w:rStyle w:val="normaltextrun"/>
          <w:shd w:val="clear" w:color="auto" w:fill="FFFFFF"/>
        </w:rPr>
        <w:t xml:space="preserve"> </w:t>
      </w:r>
      <w:r w:rsidR="00544CCA">
        <w:rPr>
          <w:rStyle w:val="normaltextrun"/>
          <w:shd w:val="clear" w:color="auto" w:fill="FFFFFF"/>
        </w:rPr>
        <w:t>et chez 0,1 % des patients (1</w:t>
      </w:r>
      <w:r w:rsidR="00022F5B">
        <w:rPr>
          <w:rStyle w:val="normaltextrun"/>
          <w:shd w:val="clear" w:color="auto" w:fill="FFFFFF"/>
        </w:rPr>
        <w:t> </w:t>
      </w:r>
      <w:r w:rsidR="00544CCA">
        <w:rPr>
          <w:rStyle w:val="normaltextrun"/>
          <w:shd w:val="clear" w:color="auto" w:fill="FFFFFF"/>
        </w:rPr>
        <w:t>patient) pour infection des voies urinaires</w:t>
      </w:r>
      <w:r w:rsidRPr="00AD464F">
        <w:rPr>
          <w:rStyle w:val="normaltextrun"/>
          <w:shd w:val="clear" w:color="auto" w:fill="FFFFFF"/>
        </w:rPr>
        <w:t>.</w:t>
      </w:r>
    </w:p>
    <w:p w14:paraId="74BB1EF6" w14:textId="30D4F088" w:rsidR="00033D26" w:rsidRPr="00AD464F" w:rsidRDefault="00033D26" w:rsidP="00204AAB">
      <w:pPr>
        <w:autoSpaceDE w:val="0"/>
        <w:autoSpaceDN w:val="0"/>
        <w:adjustRightInd w:val="0"/>
        <w:spacing w:line="240" w:lineRule="auto"/>
        <w:jc w:val="both"/>
        <w:rPr>
          <w:iCs/>
          <w:szCs w:val="22"/>
        </w:rPr>
      </w:pPr>
    </w:p>
    <w:p w14:paraId="741C71C3" w14:textId="0413D232" w:rsidR="008638E4" w:rsidRPr="00AD464F" w:rsidRDefault="00304780" w:rsidP="00AB2632">
      <w:pPr>
        <w:keepNext/>
        <w:autoSpaceDE w:val="0"/>
        <w:autoSpaceDN w:val="0"/>
        <w:adjustRightInd w:val="0"/>
        <w:spacing w:line="240" w:lineRule="auto"/>
        <w:jc w:val="both"/>
        <w:rPr>
          <w:iCs/>
          <w:szCs w:val="22"/>
          <w:u w:val="single"/>
        </w:rPr>
      </w:pPr>
      <w:r>
        <w:rPr>
          <w:u w:val="single"/>
        </w:rPr>
        <w:t>Liste tabulée</w:t>
      </w:r>
      <w:r w:rsidR="001827CE" w:rsidRPr="00AD464F">
        <w:rPr>
          <w:u w:val="single"/>
        </w:rPr>
        <w:t xml:space="preserve"> des effets indésirables</w:t>
      </w:r>
    </w:p>
    <w:p w14:paraId="1D3B26A5" w14:textId="77777777" w:rsidR="00272CC2" w:rsidRPr="00AD464F" w:rsidRDefault="00272CC2" w:rsidP="009377E5">
      <w:pPr>
        <w:keepNext/>
        <w:autoSpaceDE w:val="0"/>
        <w:autoSpaceDN w:val="0"/>
        <w:adjustRightInd w:val="0"/>
        <w:spacing w:line="240" w:lineRule="auto"/>
        <w:jc w:val="both"/>
        <w:rPr>
          <w:iCs/>
          <w:szCs w:val="22"/>
          <w:u w:val="single"/>
        </w:rPr>
      </w:pPr>
    </w:p>
    <w:p w14:paraId="344140E7" w14:textId="5FBDC432" w:rsidR="008638E4" w:rsidRPr="00AD464F" w:rsidRDefault="001827CE" w:rsidP="00A47A1B">
      <w:pPr>
        <w:keepNext/>
        <w:tabs>
          <w:tab w:val="clear" w:pos="567"/>
        </w:tabs>
        <w:autoSpaceDE w:val="0"/>
        <w:autoSpaceDN w:val="0"/>
        <w:adjustRightInd w:val="0"/>
        <w:spacing w:line="240" w:lineRule="auto"/>
        <w:rPr>
          <w:rFonts w:eastAsia="SimSun"/>
          <w:szCs w:val="22"/>
        </w:rPr>
      </w:pPr>
      <w:r w:rsidRPr="00AD464F">
        <w:t>Le tableau </w:t>
      </w:r>
      <w:r w:rsidR="00EB365E">
        <w:t>1</w:t>
      </w:r>
      <w:r w:rsidRPr="00AD464F">
        <w:t xml:space="preserve"> </w:t>
      </w:r>
      <w:r w:rsidR="004E1B84">
        <w:t>présente</w:t>
      </w:r>
      <w:r w:rsidRPr="00AD464F">
        <w:t xml:space="preserve"> les effets indésirables </w:t>
      </w:r>
      <w:r w:rsidR="00BE3CED">
        <w:t>(EI)</w:t>
      </w:r>
      <w:r w:rsidRPr="00AD464F">
        <w:t xml:space="preserve"> associés à Jaypirca administré en monothérapie à partir des données de </w:t>
      </w:r>
      <w:r w:rsidR="005B45B4">
        <w:t>l’étude</w:t>
      </w:r>
      <w:r w:rsidRPr="00AD464F">
        <w:t xml:space="preserve"> clinique. </w:t>
      </w:r>
      <w:r w:rsidR="005B45B4">
        <w:t xml:space="preserve">Les EI </w:t>
      </w:r>
      <w:r w:rsidR="003645E9">
        <w:t xml:space="preserve">sont basés sur des données </w:t>
      </w:r>
      <w:r w:rsidR="00941893">
        <w:t xml:space="preserve">groupées de </w:t>
      </w:r>
      <w:r w:rsidR="00D235B7">
        <w:t>690 </w:t>
      </w:r>
      <w:r w:rsidR="00941893">
        <w:t>patients traités par Jaypirca en monothérapie à la dose initiale de 200</w:t>
      </w:r>
      <w:r w:rsidR="00C36330">
        <w:t> </w:t>
      </w:r>
      <w:r w:rsidR="00941893">
        <w:t>mg une fois par jour sans augmentation de dose dans une étude</w:t>
      </w:r>
      <w:r w:rsidR="00C51C28">
        <w:t xml:space="preserve"> clinique de phase</w:t>
      </w:r>
      <w:r w:rsidR="00702833">
        <w:t> </w:t>
      </w:r>
      <w:r w:rsidR="00C51C28">
        <w:t>1/2</w:t>
      </w:r>
      <w:r w:rsidR="00D235B7">
        <w:t>, et</w:t>
      </w:r>
      <w:r w:rsidR="001556BE">
        <w:t xml:space="preserve"> de patients traités par Jaypirca en monothérapie à la d</w:t>
      </w:r>
      <w:r w:rsidR="00951047">
        <w:t>ose de 200 mg une fois par jour dans une étude de phase 3</w:t>
      </w:r>
      <w:r w:rsidR="00C51C28">
        <w:t>. Les patients étaient traités pour un LCM, une leucémie lymphoïde chronique/</w:t>
      </w:r>
      <w:r w:rsidR="00AE0AF4">
        <w:t xml:space="preserve">lymphome </w:t>
      </w:r>
      <w:r w:rsidR="00EE05C6">
        <w:t>à petits</w:t>
      </w:r>
      <w:r w:rsidR="00CF15ED">
        <w:t xml:space="preserve"> lymphocytes</w:t>
      </w:r>
      <w:r w:rsidR="00C410CB">
        <w:t xml:space="preserve"> (CLL/SLL)</w:t>
      </w:r>
      <w:r w:rsidR="00452E3F">
        <w:t xml:space="preserve"> et d’autres lymphomes non-Hodgkiniens (NHL). </w:t>
      </w:r>
      <w:r w:rsidRPr="00AD464F">
        <w:t xml:space="preserve">Les patients ont été exposés à Jaypirca pendant une durée médiane de </w:t>
      </w:r>
      <w:r w:rsidR="00AF2BF6">
        <w:t>12 </w:t>
      </w:r>
      <w:r w:rsidRPr="00AD464F">
        <w:t xml:space="preserve">mois. Les </w:t>
      </w:r>
      <w:r w:rsidR="003C0D7B">
        <w:t>EI</w:t>
      </w:r>
      <w:r w:rsidRPr="00AD464F">
        <w:t xml:space="preserve"> sont </w:t>
      </w:r>
      <w:r w:rsidR="0001289F">
        <w:t>répertoriés</w:t>
      </w:r>
      <w:r w:rsidRPr="00AD464F">
        <w:t xml:space="preserve"> ci-dessous </w:t>
      </w:r>
      <w:r w:rsidR="00BB5C1A">
        <w:t>selon la</w:t>
      </w:r>
      <w:r w:rsidR="00BB5C1A" w:rsidRPr="00AD464F">
        <w:t xml:space="preserve"> </w:t>
      </w:r>
      <w:r w:rsidRPr="00AD464F">
        <w:t xml:space="preserve">classe de </w:t>
      </w:r>
      <w:r w:rsidR="00BB5C1A">
        <w:t>S</w:t>
      </w:r>
      <w:r w:rsidRPr="00AD464F">
        <w:t>ystème d</w:t>
      </w:r>
      <w:r w:rsidR="00D3466E">
        <w:t>’</w:t>
      </w:r>
      <w:r w:rsidR="00BB5C1A">
        <w:t>O</w:t>
      </w:r>
      <w:r w:rsidRPr="00AD464F">
        <w:t xml:space="preserve">rganes MedDRA. Les </w:t>
      </w:r>
      <w:r w:rsidR="00B70786">
        <w:t>catégories</w:t>
      </w:r>
      <w:r w:rsidRPr="00AD464F">
        <w:t xml:space="preserve"> de fréquences sont défini</w:t>
      </w:r>
      <w:r w:rsidR="00B70786">
        <w:t>e</w:t>
      </w:r>
      <w:r w:rsidRPr="00AD464F">
        <w:t xml:space="preserve">s par la convention suivante : </w:t>
      </w:r>
      <w:r w:rsidR="00BB5C1A">
        <w:t>T</w:t>
      </w:r>
      <w:r w:rsidR="00BB5C1A" w:rsidRPr="00AD464F">
        <w:t>rès</w:t>
      </w:r>
      <w:r w:rsidR="00A6594B">
        <w:t> </w:t>
      </w:r>
      <w:r w:rsidRPr="00AD464F">
        <w:t>fréquent</w:t>
      </w:r>
      <w:r w:rsidR="00A6594B">
        <w:t> </w:t>
      </w:r>
      <w:r w:rsidRPr="00AD464F">
        <w:t>(</w:t>
      </w:r>
      <w:r w:rsidRPr="00AD464F">
        <w:rPr>
          <w:rFonts w:ascii="Symbol" w:hAnsi="Symbol"/>
        </w:rPr>
        <w:t></w:t>
      </w:r>
      <w:r w:rsidRPr="00AD464F">
        <w:t>1/10) ; fréquent (</w:t>
      </w:r>
      <w:r w:rsidRPr="00AD464F">
        <w:rPr>
          <w:rFonts w:ascii="Symbol" w:hAnsi="Symbol"/>
        </w:rPr>
        <w:t></w:t>
      </w:r>
      <w:r w:rsidRPr="00AD464F">
        <w:t>1/100</w:t>
      </w:r>
      <w:r w:rsidR="00BB5C1A">
        <w:t xml:space="preserve">, </w:t>
      </w:r>
      <w:r w:rsidRPr="00AD464F">
        <w:t>&lt; 1/10) ; peu fréquent (</w:t>
      </w:r>
      <w:r w:rsidRPr="00AD464F">
        <w:rPr>
          <w:rFonts w:ascii="Symbol" w:hAnsi="Symbol"/>
        </w:rPr>
        <w:t></w:t>
      </w:r>
      <w:r w:rsidRPr="00AD464F">
        <w:t>1/1 000</w:t>
      </w:r>
      <w:r w:rsidR="00BB5C1A">
        <w:t xml:space="preserve">, </w:t>
      </w:r>
      <w:r w:rsidRPr="00AD464F">
        <w:t>&lt; 1/100) ; rare (</w:t>
      </w:r>
      <w:r w:rsidRPr="00AD464F">
        <w:rPr>
          <w:rFonts w:ascii="Symbol" w:hAnsi="Symbol"/>
        </w:rPr>
        <w:t></w:t>
      </w:r>
      <w:r w:rsidRPr="00AD464F">
        <w:t>1/10 000</w:t>
      </w:r>
      <w:r w:rsidR="00BB5C1A">
        <w:t>,</w:t>
      </w:r>
      <w:r w:rsidR="005F2A92">
        <w:t xml:space="preserve"> </w:t>
      </w:r>
      <w:r w:rsidRPr="00AD464F">
        <w:t xml:space="preserve">&lt; 1/1 000) ; très rare (&lt; 1/10 000), et fréquence indéterminée (ne peut être estimée sur la base des données disponibles). Dans chaque </w:t>
      </w:r>
      <w:r w:rsidR="005F2A92">
        <w:t>catégorie</w:t>
      </w:r>
      <w:r w:rsidR="005F2A92" w:rsidRPr="00AD464F">
        <w:t xml:space="preserve"> </w:t>
      </w:r>
      <w:r w:rsidRPr="00AD464F">
        <w:t xml:space="preserve">de fréquence, les EI sont présentés par ordre </w:t>
      </w:r>
      <w:r w:rsidR="00E57BED" w:rsidRPr="00AD464F">
        <w:t xml:space="preserve">décroissant </w:t>
      </w:r>
      <w:r w:rsidRPr="00AD464F">
        <w:t>de gravité.</w:t>
      </w:r>
    </w:p>
    <w:p w14:paraId="2602B734" w14:textId="513B0F05" w:rsidR="001827CE" w:rsidRPr="00AD464F" w:rsidRDefault="001827CE" w:rsidP="001827CE">
      <w:pPr>
        <w:autoSpaceDE w:val="0"/>
        <w:autoSpaceDN w:val="0"/>
        <w:adjustRightInd w:val="0"/>
        <w:spacing w:line="240" w:lineRule="auto"/>
        <w:jc w:val="both"/>
        <w:rPr>
          <w:szCs w:val="22"/>
        </w:rPr>
      </w:pPr>
    </w:p>
    <w:p w14:paraId="6DB8D25C" w14:textId="452ADC32" w:rsidR="004931FA" w:rsidRPr="00875F39" w:rsidRDefault="004931FA" w:rsidP="004931FA">
      <w:pPr>
        <w:keepNext/>
        <w:tabs>
          <w:tab w:val="clear" w:pos="567"/>
        </w:tabs>
        <w:spacing w:line="240" w:lineRule="auto"/>
        <w:rPr>
          <w:rFonts w:eastAsia="SimSun"/>
          <w:b/>
          <w:bCs/>
          <w:szCs w:val="22"/>
        </w:rPr>
      </w:pPr>
      <w:r w:rsidRPr="00AD464F">
        <w:rPr>
          <w:b/>
        </w:rPr>
        <w:t>Tableau </w:t>
      </w:r>
      <w:r w:rsidR="005A0287">
        <w:rPr>
          <w:b/>
        </w:rPr>
        <w:t>1</w:t>
      </w:r>
      <w:r w:rsidRPr="00AD464F">
        <w:rPr>
          <w:b/>
        </w:rPr>
        <w:t> : EI des patients traités par Jaypirca en monothérapie</w:t>
      </w:r>
      <w:r w:rsidRPr="00AD464F">
        <w:rPr>
          <w:b/>
          <w:vertAlign w:val="superscript"/>
        </w:rPr>
        <w:t>a</w:t>
      </w:r>
      <w:r w:rsidR="00875F39">
        <w:rPr>
          <w:b/>
        </w:rPr>
        <w:t xml:space="preserve"> à la dose de 200</w:t>
      </w:r>
      <w:r w:rsidR="005F2A92">
        <w:rPr>
          <w:b/>
        </w:rPr>
        <w:t> </w:t>
      </w:r>
      <w:r w:rsidR="00875F39">
        <w:rPr>
          <w:b/>
        </w:rPr>
        <w:t xml:space="preserve">mg </w:t>
      </w:r>
      <w:r w:rsidR="000B78F5">
        <w:rPr>
          <w:b/>
        </w:rPr>
        <w:t xml:space="preserve">une fois </w:t>
      </w:r>
      <w:r w:rsidR="00875F39">
        <w:rPr>
          <w:b/>
        </w:rPr>
        <w:t>par jour</w:t>
      </w:r>
    </w:p>
    <w:p w14:paraId="61BC1772" w14:textId="1EEB4740" w:rsidR="001827CE" w:rsidRPr="00AD464F" w:rsidRDefault="001827CE" w:rsidP="009377E5">
      <w:pPr>
        <w:keepNext/>
        <w:autoSpaceDE w:val="0"/>
        <w:autoSpaceDN w:val="0"/>
        <w:adjustRightInd w:val="0"/>
        <w:spacing w:line="240" w:lineRule="auto"/>
        <w:jc w:val="both"/>
        <w:rPr>
          <w:szCs w:val="22"/>
        </w:rPr>
      </w:pPr>
    </w:p>
    <w:tbl>
      <w:tblPr>
        <w:tblW w:w="882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15"/>
        <w:gridCol w:w="2070"/>
        <w:gridCol w:w="2700"/>
        <w:gridCol w:w="1440"/>
      </w:tblGrid>
      <w:tr w:rsidR="00216FCF" w:rsidRPr="00AD464F" w:rsidDel="00E51E89" w14:paraId="1BA5C878" w14:textId="54D5E47E" w:rsidTr="00757987">
        <w:trPr>
          <w:trHeight w:val="658"/>
        </w:trPr>
        <w:tc>
          <w:tcPr>
            <w:tcW w:w="2615" w:type="dxa"/>
          </w:tcPr>
          <w:p w14:paraId="189261F1" w14:textId="70B0C8FA" w:rsidR="00216FCF" w:rsidRPr="00AD464F" w:rsidRDefault="00216FCF" w:rsidP="001F51F7">
            <w:pPr>
              <w:pStyle w:val="Koptekst"/>
              <w:keepNext/>
              <w:tabs>
                <w:tab w:val="clear" w:pos="4153"/>
                <w:tab w:val="clear" w:pos="8306"/>
              </w:tabs>
              <w:jc w:val="center"/>
              <w:rPr>
                <w:rFonts w:ascii="Times New Roman" w:hAnsi="Times New Roman"/>
                <w:b/>
                <w:sz w:val="22"/>
                <w:szCs w:val="22"/>
              </w:rPr>
            </w:pPr>
            <w:bookmarkStart w:id="3" w:name="_Hlk120786096"/>
            <w:bookmarkStart w:id="4" w:name="_Hlk120782545"/>
            <w:r w:rsidRPr="00AD464F">
              <w:rPr>
                <w:rFonts w:ascii="Times New Roman" w:hAnsi="Times New Roman"/>
                <w:b/>
                <w:sz w:val="22"/>
              </w:rPr>
              <w:t xml:space="preserve">Classe de </w:t>
            </w:r>
            <w:r w:rsidR="00BD229F">
              <w:rPr>
                <w:rFonts w:ascii="Times New Roman" w:hAnsi="Times New Roman"/>
                <w:b/>
                <w:sz w:val="22"/>
              </w:rPr>
              <w:t>S</w:t>
            </w:r>
            <w:r w:rsidR="00BD229F" w:rsidRPr="00AD464F">
              <w:rPr>
                <w:rFonts w:ascii="Times New Roman" w:hAnsi="Times New Roman"/>
                <w:b/>
                <w:sz w:val="22"/>
              </w:rPr>
              <w:t>ystème d</w:t>
            </w:r>
            <w:r w:rsidR="00D3466E">
              <w:rPr>
                <w:rFonts w:ascii="Times New Roman" w:hAnsi="Times New Roman"/>
                <w:b/>
                <w:sz w:val="22"/>
              </w:rPr>
              <w:t>’</w:t>
            </w:r>
            <w:r w:rsidR="00BD229F">
              <w:rPr>
                <w:rFonts w:ascii="Times New Roman" w:hAnsi="Times New Roman"/>
                <w:b/>
                <w:sz w:val="22"/>
              </w:rPr>
              <w:t>O</w:t>
            </w:r>
            <w:r w:rsidR="00BD229F" w:rsidRPr="00AD464F">
              <w:rPr>
                <w:rFonts w:ascii="Times New Roman" w:hAnsi="Times New Roman"/>
                <w:b/>
                <w:sz w:val="22"/>
              </w:rPr>
              <w:t>rgane</w:t>
            </w:r>
            <w:r w:rsidR="00F46900">
              <w:rPr>
                <w:rFonts w:ascii="Times New Roman" w:hAnsi="Times New Roman"/>
                <w:b/>
                <w:sz w:val="22"/>
              </w:rPr>
              <w:t>s</w:t>
            </w:r>
            <w:r w:rsidR="00BD229F" w:rsidRPr="00AD464F">
              <w:rPr>
                <w:rFonts w:ascii="Times New Roman" w:hAnsi="Times New Roman"/>
                <w:b/>
                <w:sz w:val="22"/>
              </w:rPr>
              <w:t xml:space="preserve"> </w:t>
            </w:r>
            <w:r w:rsidRPr="00AD464F">
              <w:rPr>
                <w:rFonts w:ascii="Times New Roman" w:hAnsi="Times New Roman"/>
                <w:b/>
                <w:sz w:val="22"/>
              </w:rPr>
              <w:t>(MedDRA)</w:t>
            </w:r>
          </w:p>
        </w:tc>
        <w:tc>
          <w:tcPr>
            <w:tcW w:w="2070" w:type="dxa"/>
          </w:tcPr>
          <w:p w14:paraId="7646D51E" w14:textId="5A9F14CD" w:rsidR="00216FCF" w:rsidRPr="00AD464F" w:rsidRDefault="00216FCF" w:rsidP="001F51F7">
            <w:pPr>
              <w:pStyle w:val="Koptekst"/>
              <w:keepNext/>
              <w:tabs>
                <w:tab w:val="clear" w:pos="4153"/>
                <w:tab w:val="clear" w:pos="8306"/>
              </w:tabs>
              <w:jc w:val="center"/>
              <w:rPr>
                <w:rFonts w:ascii="Times New Roman" w:hAnsi="Times New Roman"/>
                <w:sz w:val="22"/>
                <w:szCs w:val="22"/>
              </w:rPr>
            </w:pPr>
            <w:r w:rsidRPr="00AD464F">
              <w:rPr>
                <w:rFonts w:ascii="Times New Roman" w:hAnsi="Times New Roman"/>
                <w:b/>
                <w:sz w:val="22"/>
              </w:rPr>
              <w:t>EI</w:t>
            </w:r>
          </w:p>
        </w:tc>
        <w:tc>
          <w:tcPr>
            <w:tcW w:w="2700" w:type="dxa"/>
          </w:tcPr>
          <w:p w14:paraId="7B32BE9F" w14:textId="77777777" w:rsidR="00216FCF" w:rsidRPr="00AD464F" w:rsidRDefault="00216FCF" w:rsidP="001F51F7">
            <w:pPr>
              <w:pStyle w:val="Koptekst"/>
              <w:keepNext/>
              <w:tabs>
                <w:tab w:val="clear" w:pos="4153"/>
                <w:tab w:val="clear" w:pos="8306"/>
              </w:tabs>
              <w:jc w:val="center"/>
              <w:rPr>
                <w:rFonts w:ascii="Times New Roman" w:hAnsi="Times New Roman"/>
                <w:b/>
                <w:sz w:val="22"/>
                <w:szCs w:val="22"/>
              </w:rPr>
            </w:pPr>
            <w:r w:rsidRPr="00AD464F">
              <w:rPr>
                <w:rFonts w:ascii="Times New Roman" w:hAnsi="Times New Roman"/>
                <w:b/>
                <w:sz w:val="22"/>
              </w:rPr>
              <w:t>Catégorie de fréquence (%)</w:t>
            </w:r>
          </w:p>
          <w:p w14:paraId="24593BE6" w14:textId="198223D6" w:rsidR="00216FCF" w:rsidRPr="00AD464F" w:rsidRDefault="00216FCF" w:rsidP="001F51F7">
            <w:pPr>
              <w:pStyle w:val="Koptekst"/>
              <w:keepNext/>
              <w:tabs>
                <w:tab w:val="clear" w:pos="4153"/>
                <w:tab w:val="clear" w:pos="8306"/>
              </w:tabs>
              <w:jc w:val="center"/>
              <w:rPr>
                <w:rFonts w:ascii="Times New Roman" w:hAnsi="Times New Roman"/>
                <w:b/>
                <w:strike/>
                <w:sz w:val="22"/>
                <w:szCs w:val="22"/>
              </w:rPr>
            </w:pPr>
            <w:r w:rsidRPr="00AD464F">
              <w:rPr>
                <w:rFonts w:ascii="Times New Roman" w:hAnsi="Times New Roman"/>
                <w:b/>
                <w:sz w:val="22"/>
              </w:rPr>
              <w:t>(Tous grades)</w:t>
            </w:r>
            <w:r w:rsidRPr="00AD464F">
              <w:rPr>
                <w:rFonts w:ascii="Times New Roman" w:hAnsi="Times New Roman"/>
                <w:sz w:val="22"/>
              </w:rPr>
              <w:t xml:space="preserve"> </w:t>
            </w:r>
          </w:p>
        </w:tc>
        <w:tc>
          <w:tcPr>
            <w:tcW w:w="1440" w:type="dxa"/>
          </w:tcPr>
          <w:p w14:paraId="2CAB8B58" w14:textId="235DDC8A" w:rsidR="00216FCF" w:rsidRPr="00AD464F" w:rsidRDefault="00216FCF" w:rsidP="001F51F7">
            <w:pPr>
              <w:pStyle w:val="Koptekst"/>
              <w:keepNext/>
              <w:tabs>
                <w:tab w:val="clear" w:pos="4153"/>
                <w:tab w:val="clear" w:pos="8306"/>
              </w:tabs>
              <w:jc w:val="center"/>
              <w:rPr>
                <w:rFonts w:ascii="Times New Roman" w:hAnsi="Times New Roman"/>
                <w:b/>
                <w:sz w:val="22"/>
                <w:szCs w:val="22"/>
              </w:rPr>
            </w:pPr>
            <w:r w:rsidRPr="00AD464F">
              <w:rPr>
                <w:rFonts w:ascii="Times New Roman" w:hAnsi="Times New Roman"/>
                <w:b/>
                <w:sz w:val="22"/>
              </w:rPr>
              <w:t xml:space="preserve">Grade </w:t>
            </w:r>
            <w:r w:rsidRPr="00AD464F">
              <w:rPr>
                <w:rFonts w:ascii="Symbol" w:hAnsi="Symbol"/>
                <w:b/>
                <w:sz w:val="22"/>
              </w:rPr>
              <w:t></w:t>
            </w:r>
            <w:r w:rsidRPr="00AD464F">
              <w:rPr>
                <w:rFonts w:ascii="Times New Roman" w:hAnsi="Times New Roman"/>
                <w:b/>
                <w:sz w:val="22"/>
              </w:rPr>
              <w:t> 3</w:t>
            </w:r>
            <w:r w:rsidRPr="00AD464F">
              <w:rPr>
                <w:rFonts w:ascii="Times New Roman" w:hAnsi="Times New Roman"/>
                <w:b/>
                <w:sz w:val="22"/>
                <w:vertAlign w:val="superscript"/>
              </w:rPr>
              <w:t xml:space="preserve">c </w:t>
            </w:r>
            <w:r w:rsidRPr="00AD464F">
              <w:rPr>
                <w:rFonts w:ascii="Times New Roman" w:hAnsi="Times New Roman"/>
                <w:b/>
                <w:sz w:val="22"/>
              </w:rPr>
              <w:t>(%)</w:t>
            </w:r>
          </w:p>
        </w:tc>
      </w:tr>
      <w:bookmarkEnd w:id="3"/>
      <w:tr w:rsidR="00231B7D" w:rsidRPr="00AD464F" w14:paraId="67428F38" w14:textId="77777777" w:rsidTr="00757987">
        <w:tc>
          <w:tcPr>
            <w:tcW w:w="2615" w:type="dxa"/>
            <w:vMerge w:val="restart"/>
          </w:tcPr>
          <w:p w14:paraId="27753756" w14:textId="112048C7" w:rsidR="00231B7D" w:rsidRPr="00AD464F" w:rsidRDefault="00231B7D" w:rsidP="001F51F7">
            <w:pPr>
              <w:pStyle w:val="Koptekst"/>
              <w:keepNext/>
              <w:tabs>
                <w:tab w:val="clear" w:pos="4153"/>
                <w:tab w:val="clear" w:pos="8306"/>
              </w:tabs>
              <w:rPr>
                <w:rFonts w:ascii="Times New Roman" w:hAnsi="Times New Roman"/>
                <w:sz w:val="22"/>
                <w:szCs w:val="22"/>
              </w:rPr>
            </w:pPr>
            <w:r w:rsidRPr="00AD464F">
              <w:rPr>
                <w:rFonts w:ascii="Times New Roman" w:hAnsi="Times New Roman"/>
                <w:sz w:val="22"/>
              </w:rPr>
              <w:t>Infections et infestations</w:t>
            </w:r>
          </w:p>
        </w:tc>
        <w:tc>
          <w:tcPr>
            <w:tcW w:w="2070" w:type="dxa"/>
          </w:tcPr>
          <w:p w14:paraId="4E2FC7F2" w14:textId="6D575563" w:rsidR="00231B7D" w:rsidRPr="00AD464F" w:rsidRDefault="00231B7D" w:rsidP="001F51F7">
            <w:pPr>
              <w:pStyle w:val="Koptekst"/>
              <w:keepNext/>
              <w:tabs>
                <w:tab w:val="clear" w:pos="4153"/>
                <w:tab w:val="clear" w:pos="8306"/>
              </w:tabs>
              <w:rPr>
                <w:rFonts w:ascii="Times New Roman" w:hAnsi="Times New Roman"/>
                <w:sz w:val="22"/>
                <w:szCs w:val="22"/>
              </w:rPr>
            </w:pPr>
            <w:r w:rsidRPr="00AD464F">
              <w:rPr>
                <w:rFonts w:ascii="Times New Roman" w:hAnsi="Times New Roman"/>
                <w:sz w:val="22"/>
              </w:rPr>
              <w:t xml:space="preserve">Pneumonie </w:t>
            </w:r>
          </w:p>
        </w:tc>
        <w:tc>
          <w:tcPr>
            <w:tcW w:w="2700" w:type="dxa"/>
            <w:vAlign w:val="center"/>
          </w:tcPr>
          <w:p w14:paraId="719C7C3E" w14:textId="39B81854" w:rsidR="00231B7D" w:rsidRPr="00AD464F" w:rsidRDefault="00231B7D" w:rsidP="00757987">
            <w:pPr>
              <w:pStyle w:val="Koptekst"/>
              <w:keepNext/>
              <w:tabs>
                <w:tab w:val="clear" w:pos="4153"/>
                <w:tab w:val="clear" w:pos="8306"/>
              </w:tabs>
              <w:jc w:val="center"/>
              <w:rPr>
                <w:rFonts w:ascii="Times New Roman" w:hAnsi="Times New Roman"/>
                <w:strike/>
                <w:sz w:val="22"/>
                <w:szCs w:val="22"/>
              </w:rPr>
            </w:pPr>
            <w:r>
              <w:rPr>
                <w:rFonts w:ascii="Times New Roman" w:hAnsi="Times New Roman"/>
                <w:sz w:val="22"/>
              </w:rPr>
              <w:t>Très f</w:t>
            </w:r>
            <w:r w:rsidRPr="00AD464F">
              <w:rPr>
                <w:rFonts w:ascii="Times New Roman" w:hAnsi="Times New Roman"/>
                <w:sz w:val="22"/>
              </w:rPr>
              <w:t>réquent (</w:t>
            </w:r>
            <w:r>
              <w:rPr>
                <w:rFonts w:ascii="Times New Roman" w:hAnsi="Times New Roman"/>
                <w:sz w:val="22"/>
              </w:rPr>
              <w:t>13,8</w:t>
            </w:r>
            <w:r w:rsidRPr="00AD464F">
              <w:rPr>
                <w:rFonts w:ascii="Times New Roman" w:hAnsi="Times New Roman"/>
                <w:sz w:val="22"/>
              </w:rPr>
              <w:t>)</w:t>
            </w:r>
          </w:p>
        </w:tc>
        <w:tc>
          <w:tcPr>
            <w:tcW w:w="1440" w:type="dxa"/>
            <w:vAlign w:val="center"/>
          </w:tcPr>
          <w:p w14:paraId="68F70332" w14:textId="668A1F5C" w:rsidR="00231B7D" w:rsidRPr="00AD464F" w:rsidRDefault="00231B7D" w:rsidP="00757987">
            <w:pPr>
              <w:pStyle w:val="Koptekst"/>
              <w:keepNext/>
              <w:tabs>
                <w:tab w:val="clear" w:pos="4153"/>
                <w:tab w:val="clear" w:pos="8306"/>
              </w:tabs>
              <w:jc w:val="center"/>
              <w:rPr>
                <w:rFonts w:ascii="Times New Roman" w:hAnsi="Times New Roman"/>
                <w:sz w:val="22"/>
                <w:szCs w:val="22"/>
              </w:rPr>
            </w:pPr>
            <w:r>
              <w:rPr>
                <w:rFonts w:ascii="Times New Roman" w:hAnsi="Times New Roman"/>
                <w:sz w:val="22"/>
              </w:rPr>
              <w:t>9,0</w:t>
            </w:r>
          </w:p>
        </w:tc>
      </w:tr>
      <w:tr w:rsidR="00231B7D" w:rsidRPr="00AD464F" w14:paraId="1483D744" w14:textId="77777777" w:rsidTr="00757987">
        <w:tc>
          <w:tcPr>
            <w:tcW w:w="2615" w:type="dxa"/>
            <w:vMerge/>
          </w:tcPr>
          <w:p w14:paraId="6224CCD7" w14:textId="77777777" w:rsidR="00231B7D" w:rsidRPr="00AD464F" w:rsidRDefault="00231B7D" w:rsidP="00D77BC8">
            <w:pPr>
              <w:pStyle w:val="Koptekst"/>
              <w:keepNext/>
              <w:tabs>
                <w:tab w:val="clear" w:pos="4153"/>
                <w:tab w:val="clear" w:pos="8306"/>
              </w:tabs>
              <w:rPr>
                <w:rFonts w:ascii="Times New Roman" w:hAnsi="Times New Roman"/>
                <w:sz w:val="22"/>
                <w:szCs w:val="22"/>
              </w:rPr>
            </w:pPr>
          </w:p>
        </w:tc>
        <w:tc>
          <w:tcPr>
            <w:tcW w:w="2070" w:type="dxa"/>
          </w:tcPr>
          <w:p w14:paraId="1C92E0AD" w14:textId="5C3E52B4" w:rsidR="00231B7D" w:rsidRPr="00AD464F" w:rsidRDefault="00231B7D" w:rsidP="00D77BC8">
            <w:pPr>
              <w:pStyle w:val="Koptekst"/>
              <w:keepNext/>
              <w:tabs>
                <w:tab w:val="clear" w:pos="4153"/>
                <w:tab w:val="clear" w:pos="8306"/>
              </w:tabs>
              <w:rPr>
                <w:rFonts w:ascii="Times New Roman" w:hAnsi="Times New Roman"/>
                <w:sz w:val="22"/>
                <w:szCs w:val="22"/>
              </w:rPr>
            </w:pPr>
            <w:r w:rsidRPr="00AD464F">
              <w:rPr>
                <w:rFonts w:ascii="Times New Roman" w:hAnsi="Times New Roman"/>
                <w:sz w:val="22"/>
              </w:rPr>
              <w:t>Infection des voies respiratoires supérieures</w:t>
            </w:r>
          </w:p>
        </w:tc>
        <w:tc>
          <w:tcPr>
            <w:tcW w:w="2700" w:type="dxa"/>
            <w:vAlign w:val="center"/>
          </w:tcPr>
          <w:p w14:paraId="0B5F2BFF" w14:textId="528D0136" w:rsidR="00231B7D" w:rsidRPr="00AD464F" w:rsidRDefault="00231B7D" w:rsidP="00D77BC8">
            <w:pPr>
              <w:pStyle w:val="Koptekst"/>
              <w:keepNext/>
              <w:tabs>
                <w:tab w:val="clear" w:pos="4153"/>
                <w:tab w:val="clear" w:pos="8306"/>
              </w:tabs>
              <w:jc w:val="center"/>
              <w:rPr>
                <w:rFonts w:ascii="Times New Roman" w:hAnsi="Times New Roman"/>
                <w:strike/>
                <w:sz w:val="22"/>
                <w:szCs w:val="22"/>
              </w:rPr>
            </w:pPr>
            <w:r>
              <w:rPr>
                <w:rFonts w:ascii="Times New Roman" w:hAnsi="Times New Roman"/>
                <w:sz w:val="22"/>
              </w:rPr>
              <w:t>Très f</w:t>
            </w:r>
            <w:r w:rsidRPr="00AD464F">
              <w:rPr>
                <w:rFonts w:ascii="Times New Roman" w:hAnsi="Times New Roman"/>
                <w:sz w:val="22"/>
              </w:rPr>
              <w:t>réquent (</w:t>
            </w:r>
            <w:r>
              <w:rPr>
                <w:rFonts w:ascii="Times New Roman" w:hAnsi="Times New Roman"/>
                <w:sz w:val="22"/>
              </w:rPr>
              <w:t>10,1</w:t>
            </w:r>
            <w:r w:rsidRPr="00AD464F">
              <w:rPr>
                <w:rFonts w:ascii="Times New Roman" w:hAnsi="Times New Roman"/>
                <w:sz w:val="22"/>
              </w:rPr>
              <w:t>)</w:t>
            </w:r>
          </w:p>
        </w:tc>
        <w:tc>
          <w:tcPr>
            <w:tcW w:w="1440" w:type="dxa"/>
            <w:vAlign w:val="center"/>
          </w:tcPr>
          <w:p w14:paraId="377B694F" w14:textId="59E14A60" w:rsidR="00231B7D" w:rsidRPr="00AD464F" w:rsidRDefault="00231B7D" w:rsidP="00D77BC8">
            <w:pPr>
              <w:pStyle w:val="Koptekst"/>
              <w:keepNext/>
              <w:tabs>
                <w:tab w:val="clear" w:pos="4153"/>
                <w:tab w:val="clear" w:pos="8306"/>
              </w:tabs>
              <w:jc w:val="center"/>
              <w:rPr>
                <w:rFonts w:ascii="Times New Roman" w:hAnsi="Times New Roman"/>
                <w:sz w:val="22"/>
                <w:szCs w:val="22"/>
              </w:rPr>
            </w:pPr>
            <w:r w:rsidRPr="00AD464F">
              <w:rPr>
                <w:rFonts w:ascii="Times New Roman" w:hAnsi="Times New Roman"/>
                <w:sz w:val="22"/>
              </w:rPr>
              <w:t>0</w:t>
            </w:r>
            <w:r>
              <w:rPr>
                <w:rFonts w:ascii="Times New Roman" w:hAnsi="Times New Roman"/>
                <w:sz w:val="22"/>
              </w:rPr>
              <w:t>,1</w:t>
            </w:r>
          </w:p>
        </w:tc>
      </w:tr>
      <w:tr w:rsidR="00231B7D" w:rsidRPr="00AD464F" w14:paraId="1C978AA2" w14:textId="77777777" w:rsidTr="00757987">
        <w:tc>
          <w:tcPr>
            <w:tcW w:w="2615" w:type="dxa"/>
            <w:vMerge/>
          </w:tcPr>
          <w:p w14:paraId="41C254A9" w14:textId="77777777" w:rsidR="00231B7D" w:rsidRPr="00AD464F" w:rsidRDefault="00231B7D" w:rsidP="001F51F7">
            <w:pPr>
              <w:pStyle w:val="Koptekst"/>
              <w:keepNext/>
              <w:tabs>
                <w:tab w:val="clear" w:pos="4153"/>
                <w:tab w:val="clear" w:pos="8306"/>
              </w:tabs>
              <w:rPr>
                <w:rFonts w:ascii="Times New Roman" w:hAnsi="Times New Roman"/>
                <w:sz w:val="22"/>
                <w:szCs w:val="22"/>
              </w:rPr>
            </w:pPr>
          </w:p>
        </w:tc>
        <w:tc>
          <w:tcPr>
            <w:tcW w:w="2070" w:type="dxa"/>
          </w:tcPr>
          <w:p w14:paraId="69429092" w14:textId="2611279D" w:rsidR="00231B7D" w:rsidRPr="00AD464F" w:rsidRDefault="00231B7D" w:rsidP="001F51F7">
            <w:pPr>
              <w:pStyle w:val="Koptekst"/>
              <w:keepNext/>
              <w:tabs>
                <w:tab w:val="clear" w:pos="4153"/>
                <w:tab w:val="clear" w:pos="8306"/>
              </w:tabs>
              <w:rPr>
                <w:rFonts w:ascii="Times New Roman" w:hAnsi="Times New Roman"/>
                <w:sz w:val="22"/>
                <w:szCs w:val="22"/>
              </w:rPr>
            </w:pPr>
            <w:r>
              <w:rPr>
                <w:rFonts w:ascii="Times New Roman" w:hAnsi="Times New Roman"/>
                <w:sz w:val="22"/>
              </w:rPr>
              <w:t>Infection des voies urinaires</w:t>
            </w:r>
          </w:p>
        </w:tc>
        <w:tc>
          <w:tcPr>
            <w:tcW w:w="2700" w:type="dxa"/>
            <w:vAlign w:val="center"/>
          </w:tcPr>
          <w:p w14:paraId="369F3667" w14:textId="5BE20C40" w:rsidR="00231B7D" w:rsidRPr="00AD464F" w:rsidRDefault="00231B7D" w:rsidP="00757987">
            <w:pPr>
              <w:pStyle w:val="Koptekst"/>
              <w:keepNext/>
              <w:tabs>
                <w:tab w:val="clear" w:pos="4153"/>
                <w:tab w:val="clear" w:pos="8306"/>
              </w:tabs>
              <w:jc w:val="center"/>
              <w:rPr>
                <w:rFonts w:ascii="Times New Roman" w:hAnsi="Times New Roman"/>
                <w:strike/>
                <w:sz w:val="22"/>
                <w:szCs w:val="22"/>
              </w:rPr>
            </w:pPr>
            <w:r w:rsidRPr="00AD464F">
              <w:rPr>
                <w:rFonts w:ascii="Times New Roman" w:hAnsi="Times New Roman"/>
                <w:sz w:val="22"/>
              </w:rPr>
              <w:t>Fréquent (</w:t>
            </w:r>
            <w:r>
              <w:rPr>
                <w:rFonts w:ascii="Times New Roman" w:hAnsi="Times New Roman"/>
                <w:sz w:val="22"/>
              </w:rPr>
              <w:t>9,9</w:t>
            </w:r>
            <w:r w:rsidRPr="00AD464F">
              <w:rPr>
                <w:rFonts w:ascii="Times New Roman" w:hAnsi="Times New Roman"/>
                <w:sz w:val="22"/>
              </w:rPr>
              <w:t>)</w:t>
            </w:r>
          </w:p>
        </w:tc>
        <w:tc>
          <w:tcPr>
            <w:tcW w:w="1440" w:type="dxa"/>
            <w:vAlign w:val="center"/>
          </w:tcPr>
          <w:p w14:paraId="5896646D" w14:textId="41A2850C" w:rsidR="00231B7D" w:rsidRPr="00AD464F" w:rsidRDefault="00231B7D" w:rsidP="00757987">
            <w:pPr>
              <w:pStyle w:val="Koptekst"/>
              <w:keepNext/>
              <w:tabs>
                <w:tab w:val="clear" w:pos="4153"/>
                <w:tab w:val="clear" w:pos="8306"/>
              </w:tabs>
              <w:jc w:val="center"/>
              <w:rPr>
                <w:rFonts w:ascii="Times New Roman" w:hAnsi="Times New Roman"/>
                <w:sz w:val="22"/>
                <w:szCs w:val="22"/>
              </w:rPr>
            </w:pPr>
            <w:r>
              <w:rPr>
                <w:rFonts w:ascii="Times New Roman" w:hAnsi="Times New Roman"/>
                <w:sz w:val="22"/>
              </w:rPr>
              <w:t>1,4</w:t>
            </w:r>
          </w:p>
        </w:tc>
      </w:tr>
      <w:tr w:rsidR="00231B7D" w:rsidRPr="00AD464F" w14:paraId="05DA0167" w14:textId="77777777" w:rsidTr="00757987">
        <w:tc>
          <w:tcPr>
            <w:tcW w:w="2615" w:type="dxa"/>
            <w:vMerge/>
          </w:tcPr>
          <w:p w14:paraId="354BEC09" w14:textId="77777777" w:rsidR="00231B7D" w:rsidRPr="00AD464F" w:rsidRDefault="00231B7D" w:rsidP="00855028">
            <w:pPr>
              <w:pStyle w:val="Koptekst"/>
              <w:keepNext/>
              <w:tabs>
                <w:tab w:val="clear" w:pos="4153"/>
                <w:tab w:val="clear" w:pos="8306"/>
              </w:tabs>
              <w:rPr>
                <w:rFonts w:ascii="Times New Roman" w:hAnsi="Times New Roman"/>
                <w:sz w:val="22"/>
                <w:szCs w:val="22"/>
              </w:rPr>
            </w:pPr>
          </w:p>
        </w:tc>
        <w:tc>
          <w:tcPr>
            <w:tcW w:w="2070" w:type="dxa"/>
          </w:tcPr>
          <w:p w14:paraId="3CAAD555" w14:textId="12D6E9B7" w:rsidR="00231B7D" w:rsidRDefault="00231B7D" w:rsidP="00855028">
            <w:pPr>
              <w:pStyle w:val="Koptekst"/>
              <w:keepNext/>
              <w:tabs>
                <w:tab w:val="clear" w:pos="4153"/>
                <w:tab w:val="clear" w:pos="8306"/>
              </w:tabs>
              <w:rPr>
                <w:rFonts w:ascii="Times New Roman" w:hAnsi="Times New Roman"/>
                <w:sz w:val="22"/>
              </w:rPr>
            </w:pPr>
          </w:p>
        </w:tc>
        <w:tc>
          <w:tcPr>
            <w:tcW w:w="2700" w:type="dxa"/>
            <w:vAlign w:val="center"/>
          </w:tcPr>
          <w:p w14:paraId="00C70356" w14:textId="1E1235EB" w:rsidR="00231B7D" w:rsidRPr="00AD464F" w:rsidRDefault="00231B7D" w:rsidP="00855028">
            <w:pPr>
              <w:pStyle w:val="Koptekst"/>
              <w:keepNext/>
              <w:tabs>
                <w:tab w:val="clear" w:pos="4153"/>
                <w:tab w:val="clear" w:pos="8306"/>
              </w:tabs>
              <w:jc w:val="center"/>
              <w:rPr>
                <w:rFonts w:ascii="Times New Roman" w:hAnsi="Times New Roman"/>
                <w:sz w:val="22"/>
              </w:rPr>
            </w:pPr>
          </w:p>
        </w:tc>
        <w:tc>
          <w:tcPr>
            <w:tcW w:w="1440" w:type="dxa"/>
            <w:vAlign w:val="center"/>
          </w:tcPr>
          <w:p w14:paraId="6DD7AB78" w14:textId="3BAB3823" w:rsidR="00231B7D" w:rsidRDefault="00231B7D" w:rsidP="00855028">
            <w:pPr>
              <w:pStyle w:val="Koptekst"/>
              <w:keepNext/>
              <w:tabs>
                <w:tab w:val="clear" w:pos="4153"/>
                <w:tab w:val="clear" w:pos="8306"/>
              </w:tabs>
              <w:jc w:val="center"/>
              <w:rPr>
                <w:rFonts w:ascii="Times New Roman" w:hAnsi="Times New Roman"/>
                <w:sz w:val="22"/>
              </w:rPr>
            </w:pPr>
          </w:p>
        </w:tc>
      </w:tr>
      <w:tr w:rsidR="00855028" w:rsidRPr="00AD464F" w14:paraId="1D4E8093" w14:textId="77777777" w:rsidTr="00757987">
        <w:tc>
          <w:tcPr>
            <w:tcW w:w="2615" w:type="dxa"/>
            <w:vMerge w:val="restart"/>
          </w:tcPr>
          <w:p w14:paraId="028BADC8" w14:textId="57022E3C" w:rsidR="00855028" w:rsidRPr="00AD464F" w:rsidRDefault="00855028" w:rsidP="00855028">
            <w:pPr>
              <w:pStyle w:val="Koptekst"/>
              <w:keepNext/>
              <w:tabs>
                <w:tab w:val="clear" w:pos="4153"/>
                <w:tab w:val="clear" w:pos="8306"/>
              </w:tabs>
              <w:rPr>
                <w:rFonts w:ascii="Times New Roman" w:hAnsi="Times New Roman"/>
                <w:sz w:val="22"/>
                <w:szCs w:val="22"/>
              </w:rPr>
            </w:pPr>
            <w:r w:rsidRPr="00AD464F">
              <w:rPr>
                <w:rFonts w:ascii="Times New Roman" w:hAnsi="Times New Roman"/>
                <w:sz w:val="22"/>
              </w:rPr>
              <w:t>Affections hématologiques et du système lymphatique</w:t>
            </w:r>
          </w:p>
        </w:tc>
        <w:tc>
          <w:tcPr>
            <w:tcW w:w="2070" w:type="dxa"/>
          </w:tcPr>
          <w:p w14:paraId="027DE403" w14:textId="60242C7B" w:rsidR="00855028" w:rsidRPr="00AD464F" w:rsidRDefault="00855028" w:rsidP="00855028">
            <w:pPr>
              <w:pStyle w:val="Koptekst"/>
              <w:keepNext/>
              <w:tabs>
                <w:tab w:val="clear" w:pos="4153"/>
                <w:tab w:val="clear" w:pos="8306"/>
              </w:tabs>
              <w:rPr>
                <w:rFonts w:ascii="Times New Roman" w:hAnsi="Times New Roman"/>
                <w:sz w:val="22"/>
                <w:szCs w:val="22"/>
                <w:vertAlign w:val="superscript"/>
              </w:rPr>
            </w:pPr>
            <w:r w:rsidRPr="00AD464F">
              <w:rPr>
                <w:rFonts w:ascii="Times New Roman" w:hAnsi="Times New Roman"/>
                <w:sz w:val="22"/>
              </w:rPr>
              <w:t>Neutropénie</w:t>
            </w:r>
            <w:r w:rsidRPr="00AD464F">
              <w:rPr>
                <w:rFonts w:ascii="Times New Roman" w:hAnsi="Times New Roman"/>
                <w:sz w:val="22"/>
                <w:vertAlign w:val="superscript"/>
              </w:rPr>
              <w:t>b</w:t>
            </w:r>
          </w:p>
        </w:tc>
        <w:tc>
          <w:tcPr>
            <w:tcW w:w="2700" w:type="dxa"/>
            <w:vAlign w:val="center"/>
          </w:tcPr>
          <w:p w14:paraId="30E935F0" w14:textId="3295604C" w:rsidR="00855028" w:rsidRPr="00AD464F" w:rsidRDefault="00855028" w:rsidP="00855028">
            <w:pPr>
              <w:pStyle w:val="Koptekst"/>
              <w:keepNext/>
              <w:tabs>
                <w:tab w:val="clear" w:pos="4153"/>
                <w:tab w:val="clear" w:pos="8306"/>
              </w:tabs>
              <w:jc w:val="center"/>
              <w:rPr>
                <w:rFonts w:ascii="Times New Roman" w:hAnsi="Times New Roman"/>
                <w:strike/>
                <w:sz w:val="22"/>
                <w:szCs w:val="22"/>
              </w:rPr>
            </w:pPr>
            <w:r w:rsidRPr="00AD464F">
              <w:rPr>
                <w:rFonts w:ascii="Times New Roman" w:hAnsi="Times New Roman"/>
                <w:sz w:val="22"/>
              </w:rPr>
              <w:t>Très fréquent (</w:t>
            </w:r>
            <w:r>
              <w:rPr>
                <w:rFonts w:ascii="Times New Roman" w:hAnsi="Times New Roman"/>
                <w:sz w:val="22"/>
              </w:rPr>
              <w:t>27,7</w:t>
            </w:r>
            <w:r w:rsidRPr="00AD464F">
              <w:rPr>
                <w:rFonts w:ascii="Times New Roman" w:hAnsi="Times New Roman"/>
                <w:sz w:val="22"/>
              </w:rPr>
              <w:t>)</w:t>
            </w:r>
          </w:p>
        </w:tc>
        <w:tc>
          <w:tcPr>
            <w:tcW w:w="1440" w:type="dxa"/>
            <w:vAlign w:val="center"/>
          </w:tcPr>
          <w:p w14:paraId="61A8A1A7" w14:textId="279C0553" w:rsidR="00855028" w:rsidRPr="00AD464F" w:rsidRDefault="00855028" w:rsidP="00855028">
            <w:pPr>
              <w:pStyle w:val="Koptekst"/>
              <w:keepNext/>
              <w:tabs>
                <w:tab w:val="clear" w:pos="4153"/>
                <w:tab w:val="clear" w:pos="8306"/>
              </w:tabs>
              <w:jc w:val="center"/>
              <w:rPr>
                <w:rFonts w:ascii="Times New Roman" w:hAnsi="Times New Roman"/>
                <w:sz w:val="22"/>
                <w:szCs w:val="22"/>
              </w:rPr>
            </w:pPr>
            <w:r>
              <w:rPr>
                <w:rFonts w:ascii="Times New Roman" w:hAnsi="Times New Roman"/>
                <w:sz w:val="22"/>
              </w:rPr>
              <w:t>23,9</w:t>
            </w:r>
          </w:p>
        </w:tc>
      </w:tr>
      <w:tr w:rsidR="00855028" w:rsidRPr="00AD464F" w14:paraId="62ED123A" w14:textId="77777777" w:rsidTr="00757987">
        <w:tc>
          <w:tcPr>
            <w:tcW w:w="2615" w:type="dxa"/>
            <w:vMerge/>
          </w:tcPr>
          <w:p w14:paraId="67A7595F" w14:textId="77777777" w:rsidR="00855028" w:rsidRPr="00AD464F" w:rsidRDefault="00855028" w:rsidP="00855028">
            <w:pPr>
              <w:pStyle w:val="Koptekst"/>
              <w:keepNext/>
              <w:tabs>
                <w:tab w:val="clear" w:pos="4153"/>
                <w:tab w:val="clear" w:pos="8306"/>
              </w:tabs>
              <w:rPr>
                <w:rFonts w:ascii="Times New Roman" w:hAnsi="Times New Roman"/>
                <w:sz w:val="22"/>
                <w:szCs w:val="22"/>
              </w:rPr>
            </w:pPr>
          </w:p>
        </w:tc>
        <w:tc>
          <w:tcPr>
            <w:tcW w:w="2070" w:type="dxa"/>
          </w:tcPr>
          <w:p w14:paraId="536B3E08" w14:textId="34616260" w:rsidR="00855028" w:rsidRPr="00AD464F" w:rsidRDefault="00855028" w:rsidP="00855028">
            <w:pPr>
              <w:pStyle w:val="Koptekst"/>
              <w:keepNext/>
              <w:tabs>
                <w:tab w:val="clear" w:pos="4153"/>
                <w:tab w:val="clear" w:pos="8306"/>
              </w:tabs>
              <w:rPr>
                <w:rFonts w:ascii="Times New Roman" w:hAnsi="Times New Roman"/>
                <w:sz w:val="22"/>
                <w:szCs w:val="22"/>
                <w:vertAlign w:val="superscript"/>
              </w:rPr>
            </w:pPr>
            <w:r>
              <w:rPr>
                <w:rFonts w:ascii="Times New Roman" w:hAnsi="Times New Roman"/>
                <w:sz w:val="22"/>
              </w:rPr>
              <w:t>Anémie</w:t>
            </w:r>
            <w:r w:rsidRPr="00642E07">
              <w:rPr>
                <w:rFonts w:ascii="Times New Roman" w:hAnsi="Times New Roman"/>
                <w:sz w:val="22"/>
                <w:vertAlign w:val="superscript"/>
              </w:rPr>
              <w:t>b</w:t>
            </w:r>
          </w:p>
        </w:tc>
        <w:tc>
          <w:tcPr>
            <w:tcW w:w="2700" w:type="dxa"/>
            <w:vAlign w:val="center"/>
          </w:tcPr>
          <w:p w14:paraId="6EBDCD67" w14:textId="2032B9C5" w:rsidR="00855028" w:rsidRPr="00AD464F" w:rsidRDefault="00855028" w:rsidP="00855028">
            <w:pPr>
              <w:pStyle w:val="Koptekst"/>
              <w:keepNext/>
              <w:tabs>
                <w:tab w:val="clear" w:pos="4153"/>
                <w:tab w:val="clear" w:pos="8306"/>
              </w:tabs>
              <w:jc w:val="center"/>
              <w:rPr>
                <w:rFonts w:ascii="Times New Roman" w:hAnsi="Times New Roman"/>
                <w:strike/>
                <w:sz w:val="22"/>
                <w:szCs w:val="22"/>
              </w:rPr>
            </w:pPr>
            <w:r w:rsidRPr="00AD464F">
              <w:rPr>
                <w:rFonts w:ascii="Times New Roman" w:hAnsi="Times New Roman"/>
                <w:sz w:val="22"/>
              </w:rPr>
              <w:t>Très fréquent (</w:t>
            </w:r>
            <w:r>
              <w:rPr>
                <w:rFonts w:ascii="Times New Roman" w:hAnsi="Times New Roman"/>
                <w:sz w:val="22"/>
              </w:rPr>
              <w:t>20,7</w:t>
            </w:r>
            <w:r w:rsidRPr="00AD464F">
              <w:rPr>
                <w:rFonts w:ascii="Times New Roman" w:hAnsi="Times New Roman"/>
                <w:sz w:val="22"/>
              </w:rPr>
              <w:t>)</w:t>
            </w:r>
          </w:p>
        </w:tc>
        <w:tc>
          <w:tcPr>
            <w:tcW w:w="1440" w:type="dxa"/>
            <w:vAlign w:val="center"/>
          </w:tcPr>
          <w:p w14:paraId="76E24E91" w14:textId="550D8498" w:rsidR="00855028" w:rsidRPr="00AD464F" w:rsidRDefault="00855028" w:rsidP="00855028">
            <w:pPr>
              <w:pStyle w:val="Koptekst"/>
              <w:keepNext/>
              <w:tabs>
                <w:tab w:val="clear" w:pos="4153"/>
                <w:tab w:val="clear" w:pos="8306"/>
              </w:tabs>
              <w:jc w:val="center"/>
              <w:rPr>
                <w:rFonts w:ascii="Times New Roman" w:hAnsi="Times New Roman"/>
                <w:sz w:val="22"/>
                <w:szCs w:val="22"/>
              </w:rPr>
            </w:pPr>
            <w:r>
              <w:rPr>
                <w:rFonts w:ascii="Times New Roman" w:hAnsi="Times New Roman"/>
                <w:sz w:val="22"/>
              </w:rPr>
              <w:t>11,2</w:t>
            </w:r>
          </w:p>
        </w:tc>
      </w:tr>
      <w:tr w:rsidR="00855028" w:rsidRPr="00AD464F" w14:paraId="58F9BB7B" w14:textId="77777777" w:rsidTr="00757987">
        <w:tc>
          <w:tcPr>
            <w:tcW w:w="2615" w:type="dxa"/>
            <w:vMerge/>
          </w:tcPr>
          <w:p w14:paraId="0F609BE9" w14:textId="77777777" w:rsidR="00855028" w:rsidRPr="00AD464F" w:rsidRDefault="00855028" w:rsidP="00855028">
            <w:pPr>
              <w:pStyle w:val="Koptekst"/>
              <w:keepNext/>
              <w:tabs>
                <w:tab w:val="clear" w:pos="4153"/>
                <w:tab w:val="clear" w:pos="8306"/>
              </w:tabs>
              <w:rPr>
                <w:rFonts w:ascii="Times New Roman" w:hAnsi="Times New Roman"/>
                <w:sz w:val="22"/>
                <w:szCs w:val="22"/>
              </w:rPr>
            </w:pPr>
          </w:p>
        </w:tc>
        <w:tc>
          <w:tcPr>
            <w:tcW w:w="2070" w:type="dxa"/>
          </w:tcPr>
          <w:p w14:paraId="17260F6B" w14:textId="019D939B" w:rsidR="00855028" w:rsidRPr="00AD464F" w:rsidRDefault="00855028" w:rsidP="00855028">
            <w:pPr>
              <w:pStyle w:val="Koptekst"/>
              <w:keepNext/>
              <w:tabs>
                <w:tab w:val="clear" w:pos="4153"/>
                <w:tab w:val="clear" w:pos="8306"/>
              </w:tabs>
              <w:rPr>
                <w:rFonts w:ascii="Times New Roman" w:hAnsi="Times New Roman"/>
                <w:sz w:val="22"/>
                <w:szCs w:val="22"/>
                <w:vertAlign w:val="superscript"/>
              </w:rPr>
            </w:pPr>
            <w:r>
              <w:rPr>
                <w:rFonts w:ascii="Times New Roman" w:hAnsi="Times New Roman"/>
                <w:sz w:val="22"/>
              </w:rPr>
              <w:t>Thrombocytopénie</w:t>
            </w:r>
            <w:r w:rsidRPr="00642E07">
              <w:rPr>
                <w:rFonts w:ascii="Times New Roman" w:hAnsi="Times New Roman"/>
                <w:sz w:val="22"/>
                <w:vertAlign w:val="superscript"/>
              </w:rPr>
              <w:t>b</w:t>
            </w:r>
          </w:p>
        </w:tc>
        <w:tc>
          <w:tcPr>
            <w:tcW w:w="2700" w:type="dxa"/>
            <w:vAlign w:val="center"/>
          </w:tcPr>
          <w:p w14:paraId="140E63FD" w14:textId="118EE3BF" w:rsidR="00855028" w:rsidRPr="00AD464F" w:rsidRDefault="00855028" w:rsidP="00855028">
            <w:pPr>
              <w:pStyle w:val="Koptekst"/>
              <w:keepNext/>
              <w:tabs>
                <w:tab w:val="clear" w:pos="4153"/>
                <w:tab w:val="clear" w:pos="8306"/>
              </w:tabs>
              <w:jc w:val="center"/>
              <w:rPr>
                <w:rFonts w:ascii="Times New Roman" w:hAnsi="Times New Roman"/>
                <w:strike/>
                <w:sz w:val="22"/>
                <w:szCs w:val="22"/>
              </w:rPr>
            </w:pPr>
            <w:r w:rsidRPr="00AD464F">
              <w:rPr>
                <w:rFonts w:ascii="Times New Roman" w:hAnsi="Times New Roman"/>
                <w:sz w:val="22"/>
              </w:rPr>
              <w:t>Très fréquent (</w:t>
            </w:r>
            <w:r>
              <w:rPr>
                <w:rFonts w:ascii="Times New Roman" w:hAnsi="Times New Roman"/>
                <w:sz w:val="22"/>
              </w:rPr>
              <w:t>16,8</w:t>
            </w:r>
            <w:r w:rsidRPr="00AD464F">
              <w:rPr>
                <w:rFonts w:ascii="Times New Roman" w:hAnsi="Times New Roman"/>
                <w:sz w:val="22"/>
              </w:rPr>
              <w:t>)</w:t>
            </w:r>
          </w:p>
        </w:tc>
        <w:tc>
          <w:tcPr>
            <w:tcW w:w="1440" w:type="dxa"/>
            <w:vAlign w:val="center"/>
          </w:tcPr>
          <w:p w14:paraId="329D5605" w14:textId="31C3D2D6" w:rsidR="00855028" w:rsidRPr="00AD464F" w:rsidRDefault="00855028" w:rsidP="00855028">
            <w:pPr>
              <w:pStyle w:val="Koptekst"/>
              <w:keepNext/>
              <w:tabs>
                <w:tab w:val="clear" w:pos="4153"/>
                <w:tab w:val="clear" w:pos="8306"/>
              </w:tabs>
              <w:jc w:val="center"/>
              <w:rPr>
                <w:rFonts w:ascii="Times New Roman" w:hAnsi="Times New Roman"/>
                <w:sz w:val="22"/>
                <w:szCs w:val="22"/>
              </w:rPr>
            </w:pPr>
            <w:r>
              <w:rPr>
                <w:rFonts w:ascii="Times New Roman" w:hAnsi="Times New Roman"/>
                <w:sz w:val="22"/>
              </w:rPr>
              <w:t>9,7</w:t>
            </w:r>
          </w:p>
        </w:tc>
      </w:tr>
      <w:tr w:rsidR="00855028" w:rsidRPr="00AD464F" w14:paraId="6C46BF22" w14:textId="77777777" w:rsidTr="00757987">
        <w:tc>
          <w:tcPr>
            <w:tcW w:w="2615" w:type="dxa"/>
            <w:vMerge/>
          </w:tcPr>
          <w:p w14:paraId="5811855A" w14:textId="77777777" w:rsidR="00855028" w:rsidRPr="00AD464F" w:rsidRDefault="00855028" w:rsidP="00855028">
            <w:pPr>
              <w:pStyle w:val="Koptekst"/>
              <w:keepNext/>
              <w:tabs>
                <w:tab w:val="clear" w:pos="4153"/>
                <w:tab w:val="clear" w:pos="8306"/>
              </w:tabs>
              <w:rPr>
                <w:rFonts w:ascii="Times New Roman" w:hAnsi="Times New Roman"/>
                <w:sz w:val="22"/>
                <w:szCs w:val="22"/>
              </w:rPr>
            </w:pPr>
          </w:p>
        </w:tc>
        <w:tc>
          <w:tcPr>
            <w:tcW w:w="2070" w:type="dxa"/>
          </w:tcPr>
          <w:p w14:paraId="2DA53638" w14:textId="79875581" w:rsidR="00855028" w:rsidRPr="00AD464F" w:rsidRDefault="00855028" w:rsidP="00855028">
            <w:pPr>
              <w:pStyle w:val="Koptekst"/>
              <w:keepNext/>
              <w:tabs>
                <w:tab w:val="clear" w:pos="4153"/>
                <w:tab w:val="clear" w:pos="8306"/>
              </w:tabs>
              <w:rPr>
                <w:rFonts w:ascii="Times New Roman" w:hAnsi="Times New Roman"/>
                <w:sz w:val="22"/>
                <w:szCs w:val="22"/>
              </w:rPr>
            </w:pPr>
            <w:r w:rsidRPr="00AD464F">
              <w:rPr>
                <w:rFonts w:ascii="Times New Roman" w:hAnsi="Times New Roman"/>
                <w:sz w:val="22"/>
              </w:rPr>
              <w:t>Lymphocytose</w:t>
            </w:r>
            <w:r w:rsidRPr="00AD464F">
              <w:rPr>
                <w:rFonts w:ascii="Times New Roman" w:hAnsi="Times New Roman"/>
                <w:sz w:val="22"/>
                <w:vertAlign w:val="superscript"/>
              </w:rPr>
              <w:t>b</w:t>
            </w:r>
          </w:p>
        </w:tc>
        <w:tc>
          <w:tcPr>
            <w:tcW w:w="2700" w:type="dxa"/>
            <w:vAlign w:val="center"/>
          </w:tcPr>
          <w:p w14:paraId="6983C27E" w14:textId="407C2D78" w:rsidR="00855028" w:rsidRPr="00AD464F" w:rsidRDefault="00855028" w:rsidP="00855028">
            <w:pPr>
              <w:pStyle w:val="Koptekst"/>
              <w:keepNext/>
              <w:tabs>
                <w:tab w:val="clear" w:pos="4153"/>
                <w:tab w:val="clear" w:pos="8306"/>
              </w:tabs>
              <w:jc w:val="center"/>
              <w:rPr>
                <w:rFonts w:ascii="Times New Roman" w:hAnsi="Times New Roman"/>
                <w:strike/>
                <w:sz w:val="22"/>
                <w:szCs w:val="22"/>
              </w:rPr>
            </w:pPr>
            <w:r w:rsidRPr="00AD464F">
              <w:rPr>
                <w:rFonts w:ascii="Times New Roman" w:hAnsi="Times New Roman"/>
                <w:sz w:val="22"/>
              </w:rPr>
              <w:t>Fréquent (</w:t>
            </w:r>
            <w:r>
              <w:rPr>
                <w:rFonts w:ascii="Times New Roman" w:hAnsi="Times New Roman"/>
                <w:sz w:val="22"/>
              </w:rPr>
              <w:t>6,4</w:t>
            </w:r>
            <w:r w:rsidRPr="00AD464F">
              <w:rPr>
                <w:rFonts w:ascii="Times New Roman" w:hAnsi="Times New Roman"/>
                <w:sz w:val="22"/>
              </w:rPr>
              <w:t>)</w:t>
            </w:r>
          </w:p>
        </w:tc>
        <w:tc>
          <w:tcPr>
            <w:tcW w:w="1440" w:type="dxa"/>
            <w:vAlign w:val="center"/>
          </w:tcPr>
          <w:p w14:paraId="2DD1FF95" w14:textId="76E93CD1" w:rsidR="00855028" w:rsidRPr="00AD464F" w:rsidRDefault="00855028" w:rsidP="00855028">
            <w:pPr>
              <w:pStyle w:val="Koptekst"/>
              <w:keepNext/>
              <w:tabs>
                <w:tab w:val="clear" w:pos="4153"/>
                <w:tab w:val="clear" w:pos="8306"/>
              </w:tabs>
              <w:jc w:val="center"/>
              <w:rPr>
                <w:rFonts w:ascii="Times New Roman" w:hAnsi="Times New Roman"/>
                <w:sz w:val="22"/>
                <w:szCs w:val="22"/>
              </w:rPr>
            </w:pPr>
            <w:r>
              <w:rPr>
                <w:rFonts w:ascii="Times New Roman" w:hAnsi="Times New Roman"/>
                <w:sz w:val="22"/>
              </w:rPr>
              <w:t>3,9</w:t>
            </w:r>
          </w:p>
        </w:tc>
      </w:tr>
      <w:tr w:rsidR="00855028" w:rsidRPr="00AD464F" w14:paraId="613A8445" w14:textId="037A960C" w:rsidTr="00757987">
        <w:tc>
          <w:tcPr>
            <w:tcW w:w="2615" w:type="dxa"/>
          </w:tcPr>
          <w:p w14:paraId="63F273F1" w14:textId="77777777" w:rsidR="00855028" w:rsidRPr="00AD464F" w:rsidRDefault="00855028" w:rsidP="00855028">
            <w:pPr>
              <w:spacing w:line="240" w:lineRule="auto"/>
            </w:pPr>
            <w:r w:rsidRPr="00AD464F">
              <w:t>Affections du système nerveux</w:t>
            </w:r>
          </w:p>
        </w:tc>
        <w:tc>
          <w:tcPr>
            <w:tcW w:w="2070" w:type="dxa"/>
          </w:tcPr>
          <w:p w14:paraId="0B2DF651" w14:textId="47B0373A" w:rsidR="00855028" w:rsidRPr="00AD464F" w:rsidRDefault="00855028" w:rsidP="00855028">
            <w:pPr>
              <w:pStyle w:val="Koptekst"/>
              <w:tabs>
                <w:tab w:val="clear" w:pos="4153"/>
                <w:tab w:val="clear" w:pos="8306"/>
              </w:tabs>
              <w:rPr>
                <w:rFonts w:ascii="Times New Roman" w:hAnsi="Times New Roman"/>
                <w:iCs/>
                <w:sz w:val="22"/>
                <w:szCs w:val="22"/>
              </w:rPr>
            </w:pPr>
            <w:r w:rsidRPr="00AD464F">
              <w:rPr>
                <w:rFonts w:ascii="Times New Roman" w:hAnsi="Times New Roman"/>
                <w:sz w:val="22"/>
              </w:rPr>
              <w:t>Céphalée</w:t>
            </w:r>
          </w:p>
        </w:tc>
        <w:tc>
          <w:tcPr>
            <w:tcW w:w="2700" w:type="dxa"/>
            <w:vAlign w:val="center"/>
          </w:tcPr>
          <w:p w14:paraId="261B58FF" w14:textId="5ED2602F" w:rsidR="00855028" w:rsidRPr="00AD464F" w:rsidRDefault="00855028" w:rsidP="00855028">
            <w:pPr>
              <w:pStyle w:val="Koptekst"/>
              <w:tabs>
                <w:tab w:val="clear" w:pos="4153"/>
                <w:tab w:val="clear" w:pos="8306"/>
              </w:tabs>
              <w:jc w:val="center"/>
              <w:rPr>
                <w:rFonts w:ascii="Times New Roman" w:hAnsi="Times New Roman"/>
                <w:strike/>
                <w:sz w:val="22"/>
                <w:szCs w:val="22"/>
              </w:rPr>
            </w:pPr>
            <w:r>
              <w:rPr>
                <w:rFonts w:ascii="Times New Roman" w:hAnsi="Times New Roman"/>
                <w:sz w:val="22"/>
              </w:rPr>
              <w:t>Très fréquent (12,6)</w:t>
            </w:r>
          </w:p>
        </w:tc>
        <w:tc>
          <w:tcPr>
            <w:tcW w:w="1440" w:type="dxa"/>
            <w:vAlign w:val="center"/>
          </w:tcPr>
          <w:p w14:paraId="10DAF1ED" w14:textId="47C0C284"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rPr>
              <w:t>0,7</w:t>
            </w:r>
          </w:p>
        </w:tc>
      </w:tr>
      <w:tr w:rsidR="00855028" w:rsidRPr="00AD464F" w14:paraId="135ED815" w14:textId="77777777" w:rsidTr="00757987">
        <w:tc>
          <w:tcPr>
            <w:tcW w:w="2615" w:type="dxa"/>
          </w:tcPr>
          <w:p w14:paraId="736567ED" w14:textId="7D70251E" w:rsidR="00855028" w:rsidRPr="00AD464F" w:rsidRDefault="00855028" w:rsidP="00855028">
            <w:pPr>
              <w:spacing w:line="240" w:lineRule="auto"/>
            </w:pPr>
            <w:r>
              <w:t>Affections cardiaques</w:t>
            </w:r>
          </w:p>
        </w:tc>
        <w:tc>
          <w:tcPr>
            <w:tcW w:w="2070" w:type="dxa"/>
            <w:vAlign w:val="center"/>
          </w:tcPr>
          <w:p w14:paraId="1450E2B7" w14:textId="048E0F74" w:rsidR="00855028" w:rsidRPr="00AD464F" w:rsidRDefault="00855028" w:rsidP="00855028">
            <w:pPr>
              <w:pStyle w:val="Koptekst"/>
              <w:tabs>
                <w:tab w:val="clear" w:pos="4153"/>
                <w:tab w:val="clear" w:pos="8306"/>
              </w:tabs>
              <w:rPr>
                <w:rFonts w:ascii="Times New Roman" w:hAnsi="Times New Roman"/>
                <w:sz w:val="22"/>
              </w:rPr>
            </w:pPr>
            <w:r>
              <w:rPr>
                <w:rFonts w:ascii="Times New Roman" w:hAnsi="Times New Roman"/>
                <w:sz w:val="22"/>
              </w:rPr>
              <w:t>Fibrillation auriculaire/flutter auriculaire</w:t>
            </w:r>
          </w:p>
        </w:tc>
        <w:tc>
          <w:tcPr>
            <w:tcW w:w="2700" w:type="dxa"/>
            <w:vAlign w:val="center"/>
          </w:tcPr>
          <w:p w14:paraId="7E164471" w14:textId="48F31AD1" w:rsidR="00855028" w:rsidRPr="00AD464F"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Fréquent (3,8)</w:t>
            </w:r>
          </w:p>
        </w:tc>
        <w:tc>
          <w:tcPr>
            <w:tcW w:w="1440" w:type="dxa"/>
            <w:vAlign w:val="center"/>
          </w:tcPr>
          <w:p w14:paraId="374CAB92" w14:textId="3158AE1A" w:rsidR="00855028" w:rsidRPr="00AD464F"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1,7</w:t>
            </w:r>
          </w:p>
        </w:tc>
      </w:tr>
      <w:tr w:rsidR="00855028" w:rsidRPr="00AD464F" w14:paraId="3598B723" w14:textId="77777777" w:rsidTr="00757987">
        <w:tc>
          <w:tcPr>
            <w:tcW w:w="2615" w:type="dxa"/>
            <w:vMerge w:val="restart"/>
          </w:tcPr>
          <w:p w14:paraId="57A9AD68" w14:textId="14E74437" w:rsidR="00855028" w:rsidRPr="00AD464F" w:rsidRDefault="00855028" w:rsidP="00855028">
            <w:pPr>
              <w:spacing w:line="240" w:lineRule="auto"/>
              <w:rPr>
                <w:szCs w:val="22"/>
              </w:rPr>
            </w:pPr>
            <w:bookmarkStart w:id="5" w:name="_Hlk120786084"/>
            <w:r w:rsidRPr="00AD464F">
              <w:t>Affections vasculaires</w:t>
            </w:r>
          </w:p>
        </w:tc>
        <w:tc>
          <w:tcPr>
            <w:tcW w:w="2070" w:type="dxa"/>
            <w:vAlign w:val="center"/>
          </w:tcPr>
          <w:p w14:paraId="4533221E" w14:textId="7C58EA29" w:rsidR="00855028" w:rsidRPr="00AD464F" w:rsidRDefault="00855028" w:rsidP="00855028">
            <w:pPr>
              <w:pStyle w:val="Koptekst"/>
              <w:tabs>
                <w:tab w:val="clear" w:pos="4153"/>
                <w:tab w:val="clear" w:pos="8306"/>
              </w:tabs>
              <w:rPr>
                <w:rFonts w:ascii="Times New Roman" w:hAnsi="Times New Roman"/>
                <w:strike/>
                <w:sz w:val="22"/>
                <w:szCs w:val="22"/>
              </w:rPr>
            </w:pPr>
            <w:r w:rsidRPr="00AD464F">
              <w:rPr>
                <w:rFonts w:ascii="Times New Roman" w:hAnsi="Times New Roman"/>
                <w:sz w:val="22"/>
              </w:rPr>
              <w:t>Hémorragie</w:t>
            </w:r>
            <w:r w:rsidRPr="00E87A31">
              <w:rPr>
                <w:rFonts w:ascii="Times New Roman" w:hAnsi="Times New Roman"/>
                <w:sz w:val="22"/>
                <w:vertAlign w:val="superscript"/>
              </w:rPr>
              <w:t>b</w:t>
            </w:r>
          </w:p>
        </w:tc>
        <w:tc>
          <w:tcPr>
            <w:tcW w:w="2700" w:type="dxa"/>
            <w:vAlign w:val="center"/>
          </w:tcPr>
          <w:p w14:paraId="260FACCA" w14:textId="321BDDAF" w:rsidR="00855028" w:rsidRPr="00AD464F" w:rsidRDefault="00855028" w:rsidP="00855028">
            <w:pPr>
              <w:pStyle w:val="Koptekst"/>
              <w:tabs>
                <w:tab w:val="clear" w:pos="4153"/>
                <w:tab w:val="clear" w:pos="8306"/>
              </w:tabs>
              <w:jc w:val="center"/>
              <w:rPr>
                <w:rFonts w:ascii="Times New Roman" w:hAnsi="Times New Roman"/>
                <w:sz w:val="22"/>
                <w:szCs w:val="22"/>
              </w:rPr>
            </w:pPr>
            <w:r w:rsidRPr="00AD464F">
              <w:rPr>
                <w:rFonts w:ascii="Times New Roman" w:hAnsi="Times New Roman"/>
                <w:sz w:val="22"/>
              </w:rPr>
              <w:t xml:space="preserve">Très fréquent </w:t>
            </w:r>
            <w:r>
              <w:rPr>
                <w:rFonts w:ascii="Times New Roman" w:hAnsi="Times New Roman"/>
                <w:sz w:val="22"/>
              </w:rPr>
              <w:t>(20,3</w:t>
            </w:r>
            <w:r w:rsidRPr="00AD464F">
              <w:rPr>
                <w:rFonts w:ascii="Times New Roman" w:hAnsi="Times New Roman"/>
                <w:sz w:val="22"/>
              </w:rPr>
              <w:t>)</w:t>
            </w:r>
          </w:p>
        </w:tc>
        <w:tc>
          <w:tcPr>
            <w:tcW w:w="1440" w:type="dxa"/>
            <w:vAlign w:val="center"/>
          </w:tcPr>
          <w:p w14:paraId="799A7573" w14:textId="72144BED"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rPr>
              <w:t>2,8</w:t>
            </w:r>
          </w:p>
        </w:tc>
      </w:tr>
      <w:tr w:rsidR="00855028" w:rsidRPr="00AD464F" w14:paraId="580ABD66" w14:textId="77777777" w:rsidTr="00757987">
        <w:tc>
          <w:tcPr>
            <w:tcW w:w="2615" w:type="dxa"/>
            <w:vMerge/>
          </w:tcPr>
          <w:p w14:paraId="55F88233" w14:textId="77777777" w:rsidR="00855028" w:rsidRPr="00AD464F" w:rsidRDefault="00855028" w:rsidP="00855028">
            <w:pPr>
              <w:spacing w:line="240" w:lineRule="auto"/>
              <w:rPr>
                <w:szCs w:val="22"/>
              </w:rPr>
            </w:pPr>
          </w:p>
        </w:tc>
        <w:tc>
          <w:tcPr>
            <w:tcW w:w="2070" w:type="dxa"/>
          </w:tcPr>
          <w:p w14:paraId="39A7B55F" w14:textId="3F2DE110" w:rsidR="00855028" w:rsidRDefault="00855028" w:rsidP="00855028">
            <w:pPr>
              <w:pStyle w:val="Koptekst"/>
              <w:tabs>
                <w:tab w:val="clear" w:pos="4153"/>
                <w:tab w:val="clear" w:pos="8306"/>
              </w:tabs>
              <w:ind w:left="144"/>
              <w:rPr>
                <w:rFonts w:ascii="Times New Roman" w:hAnsi="Times New Roman"/>
                <w:sz w:val="22"/>
              </w:rPr>
            </w:pPr>
            <w:r>
              <w:rPr>
                <w:rFonts w:ascii="Times New Roman" w:hAnsi="Times New Roman"/>
                <w:sz w:val="22"/>
              </w:rPr>
              <w:t>Epistaxis</w:t>
            </w:r>
          </w:p>
        </w:tc>
        <w:tc>
          <w:tcPr>
            <w:tcW w:w="2700" w:type="dxa"/>
            <w:vAlign w:val="center"/>
          </w:tcPr>
          <w:p w14:paraId="71E5C4FE" w14:textId="7EBB5F61" w:rsidR="00855028"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Fréquent (5,2)</w:t>
            </w:r>
          </w:p>
        </w:tc>
        <w:tc>
          <w:tcPr>
            <w:tcW w:w="1440" w:type="dxa"/>
            <w:vAlign w:val="center"/>
          </w:tcPr>
          <w:p w14:paraId="16C3290E" w14:textId="3724221C" w:rsidR="00855028"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0</w:t>
            </w:r>
          </w:p>
        </w:tc>
      </w:tr>
      <w:tr w:rsidR="00855028" w:rsidRPr="00AD464F" w14:paraId="5E92587A" w14:textId="77777777" w:rsidTr="00757987">
        <w:tc>
          <w:tcPr>
            <w:tcW w:w="2615" w:type="dxa"/>
            <w:vMerge/>
          </w:tcPr>
          <w:p w14:paraId="2ACEA24E" w14:textId="77777777" w:rsidR="00855028" w:rsidRPr="00AD464F" w:rsidRDefault="00855028" w:rsidP="00855028">
            <w:pPr>
              <w:spacing w:line="240" w:lineRule="auto"/>
              <w:rPr>
                <w:szCs w:val="22"/>
              </w:rPr>
            </w:pPr>
          </w:p>
        </w:tc>
        <w:tc>
          <w:tcPr>
            <w:tcW w:w="2070" w:type="dxa"/>
          </w:tcPr>
          <w:p w14:paraId="5435642D" w14:textId="7ED4412D" w:rsidR="00855028" w:rsidRPr="00AD464F" w:rsidRDefault="00855028" w:rsidP="00855028">
            <w:pPr>
              <w:pStyle w:val="Koptekst"/>
              <w:tabs>
                <w:tab w:val="clear" w:pos="4153"/>
                <w:tab w:val="clear" w:pos="8306"/>
              </w:tabs>
              <w:ind w:left="144"/>
              <w:rPr>
                <w:rFonts w:ascii="Times New Roman" w:hAnsi="Times New Roman"/>
                <w:sz w:val="22"/>
              </w:rPr>
            </w:pPr>
            <w:r>
              <w:rPr>
                <w:rFonts w:ascii="Times New Roman" w:hAnsi="Times New Roman"/>
                <w:sz w:val="22"/>
              </w:rPr>
              <w:t>Hématurie</w:t>
            </w:r>
          </w:p>
        </w:tc>
        <w:tc>
          <w:tcPr>
            <w:tcW w:w="2700" w:type="dxa"/>
            <w:vAlign w:val="center"/>
          </w:tcPr>
          <w:p w14:paraId="1F50E406" w14:textId="0FB1BCA2" w:rsidR="00855028" w:rsidRPr="00AD464F"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Fréquent (4,5)</w:t>
            </w:r>
          </w:p>
        </w:tc>
        <w:tc>
          <w:tcPr>
            <w:tcW w:w="1440" w:type="dxa"/>
            <w:vAlign w:val="center"/>
          </w:tcPr>
          <w:p w14:paraId="7D486D34" w14:textId="309E5E4E" w:rsidR="00855028" w:rsidRPr="00AD464F"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0,1</w:t>
            </w:r>
          </w:p>
        </w:tc>
      </w:tr>
      <w:tr w:rsidR="00855028" w:rsidRPr="00AD464F" w14:paraId="6C6677CB" w14:textId="77777777" w:rsidTr="00757987">
        <w:tc>
          <w:tcPr>
            <w:tcW w:w="2615" w:type="dxa"/>
            <w:vMerge/>
          </w:tcPr>
          <w:p w14:paraId="0A1683EB" w14:textId="77777777" w:rsidR="00855028" w:rsidRPr="00AD464F" w:rsidRDefault="00855028" w:rsidP="00855028">
            <w:pPr>
              <w:spacing w:line="240" w:lineRule="auto"/>
              <w:rPr>
                <w:szCs w:val="22"/>
              </w:rPr>
            </w:pPr>
          </w:p>
        </w:tc>
        <w:tc>
          <w:tcPr>
            <w:tcW w:w="2070" w:type="dxa"/>
          </w:tcPr>
          <w:p w14:paraId="61224314" w14:textId="4694ACCE" w:rsidR="00855028" w:rsidRPr="00AD464F" w:rsidRDefault="00855028" w:rsidP="00855028">
            <w:pPr>
              <w:pStyle w:val="Koptekst"/>
              <w:tabs>
                <w:tab w:val="clear" w:pos="4153"/>
                <w:tab w:val="clear" w:pos="8306"/>
              </w:tabs>
              <w:ind w:left="144"/>
              <w:rPr>
                <w:rFonts w:ascii="Times New Roman" w:hAnsi="Times New Roman"/>
                <w:sz w:val="22"/>
                <w:szCs w:val="22"/>
              </w:rPr>
            </w:pPr>
          </w:p>
        </w:tc>
        <w:tc>
          <w:tcPr>
            <w:tcW w:w="2700" w:type="dxa"/>
            <w:vAlign w:val="center"/>
          </w:tcPr>
          <w:p w14:paraId="60A8846A" w14:textId="1D64BB5B" w:rsidR="00855028" w:rsidRPr="00AD464F" w:rsidRDefault="00855028" w:rsidP="00855028">
            <w:pPr>
              <w:pStyle w:val="Koptekst"/>
              <w:tabs>
                <w:tab w:val="clear" w:pos="4153"/>
                <w:tab w:val="clear" w:pos="8306"/>
              </w:tabs>
              <w:jc w:val="center"/>
              <w:rPr>
                <w:rFonts w:ascii="Times New Roman" w:hAnsi="Times New Roman"/>
                <w:sz w:val="22"/>
                <w:szCs w:val="22"/>
              </w:rPr>
            </w:pPr>
          </w:p>
        </w:tc>
        <w:tc>
          <w:tcPr>
            <w:tcW w:w="1440" w:type="dxa"/>
            <w:vAlign w:val="center"/>
          </w:tcPr>
          <w:p w14:paraId="58631697" w14:textId="3C7462E8" w:rsidR="00855028" w:rsidRPr="00AD464F" w:rsidRDefault="00855028" w:rsidP="00855028">
            <w:pPr>
              <w:pStyle w:val="Koptekst"/>
              <w:tabs>
                <w:tab w:val="clear" w:pos="4153"/>
                <w:tab w:val="clear" w:pos="8306"/>
              </w:tabs>
              <w:jc w:val="center"/>
              <w:rPr>
                <w:rFonts w:ascii="Times New Roman" w:hAnsi="Times New Roman"/>
                <w:sz w:val="22"/>
                <w:szCs w:val="22"/>
              </w:rPr>
            </w:pPr>
          </w:p>
        </w:tc>
      </w:tr>
      <w:tr w:rsidR="00855028" w:rsidRPr="00AD464F" w14:paraId="439CBC01" w14:textId="77777777" w:rsidTr="00757987">
        <w:tc>
          <w:tcPr>
            <w:tcW w:w="2615" w:type="dxa"/>
            <w:vMerge/>
          </w:tcPr>
          <w:p w14:paraId="046A392C" w14:textId="77777777" w:rsidR="00855028" w:rsidRPr="00AD464F" w:rsidRDefault="00855028" w:rsidP="00855028">
            <w:pPr>
              <w:spacing w:line="240" w:lineRule="auto"/>
              <w:rPr>
                <w:szCs w:val="22"/>
              </w:rPr>
            </w:pPr>
          </w:p>
        </w:tc>
        <w:tc>
          <w:tcPr>
            <w:tcW w:w="2070" w:type="dxa"/>
          </w:tcPr>
          <w:p w14:paraId="3953F9D1" w14:textId="4D26FA8F" w:rsidR="00855028" w:rsidRPr="00AD464F" w:rsidRDefault="00855028" w:rsidP="00855028">
            <w:pPr>
              <w:pStyle w:val="Koptekst"/>
              <w:tabs>
                <w:tab w:val="clear" w:pos="4153"/>
                <w:tab w:val="clear" w:pos="8306"/>
              </w:tabs>
              <w:ind w:left="144"/>
              <w:rPr>
                <w:rFonts w:ascii="Times New Roman" w:hAnsi="Times New Roman"/>
                <w:sz w:val="22"/>
                <w:szCs w:val="22"/>
              </w:rPr>
            </w:pPr>
            <w:r w:rsidRPr="00AD464F">
              <w:rPr>
                <w:rFonts w:ascii="Times New Roman" w:hAnsi="Times New Roman"/>
                <w:sz w:val="22"/>
              </w:rPr>
              <w:t>Hématome</w:t>
            </w:r>
          </w:p>
        </w:tc>
        <w:tc>
          <w:tcPr>
            <w:tcW w:w="2700" w:type="dxa"/>
            <w:vAlign w:val="center"/>
          </w:tcPr>
          <w:p w14:paraId="07632EDB" w14:textId="580337BF" w:rsidR="00855028" w:rsidRPr="00AD464F" w:rsidRDefault="00855028" w:rsidP="00855028">
            <w:pPr>
              <w:pStyle w:val="Koptekst"/>
              <w:tabs>
                <w:tab w:val="clear" w:pos="4153"/>
                <w:tab w:val="clear" w:pos="8306"/>
              </w:tabs>
              <w:jc w:val="center"/>
              <w:rPr>
                <w:rFonts w:ascii="Times New Roman" w:hAnsi="Times New Roman"/>
                <w:sz w:val="22"/>
                <w:szCs w:val="22"/>
              </w:rPr>
            </w:pPr>
            <w:r w:rsidRPr="00AD464F">
              <w:rPr>
                <w:rFonts w:ascii="Times New Roman" w:hAnsi="Times New Roman"/>
                <w:sz w:val="22"/>
              </w:rPr>
              <w:t>Fréquent (</w:t>
            </w:r>
            <w:r>
              <w:rPr>
                <w:rFonts w:ascii="Times New Roman" w:hAnsi="Times New Roman"/>
                <w:sz w:val="22"/>
              </w:rPr>
              <w:t>1,7</w:t>
            </w:r>
            <w:r w:rsidRPr="00AD464F">
              <w:rPr>
                <w:rFonts w:ascii="Times New Roman" w:hAnsi="Times New Roman"/>
                <w:sz w:val="22"/>
              </w:rPr>
              <w:t>)</w:t>
            </w:r>
          </w:p>
        </w:tc>
        <w:tc>
          <w:tcPr>
            <w:tcW w:w="1440" w:type="dxa"/>
            <w:vAlign w:val="center"/>
          </w:tcPr>
          <w:p w14:paraId="4DF17831" w14:textId="0E7E6F95"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rPr>
              <w:t>0,1</w:t>
            </w:r>
          </w:p>
        </w:tc>
      </w:tr>
      <w:tr w:rsidR="00855028" w:rsidRPr="00AD464F" w14:paraId="1629352E" w14:textId="77777777" w:rsidTr="00757987">
        <w:tc>
          <w:tcPr>
            <w:tcW w:w="2615" w:type="dxa"/>
            <w:vMerge/>
          </w:tcPr>
          <w:p w14:paraId="34424EAF" w14:textId="77777777" w:rsidR="00855028" w:rsidRPr="00AD464F" w:rsidRDefault="00855028" w:rsidP="00855028">
            <w:pPr>
              <w:spacing w:line="240" w:lineRule="auto"/>
              <w:rPr>
                <w:szCs w:val="22"/>
              </w:rPr>
            </w:pPr>
          </w:p>
        </w:tc>
        <w:tc>
          <w:tcPr>
            <w:tcW w:w="2070" w:type="dxa"/>
          </w:tcPr>
          <w:p w14:paraId="6ED15BA0" w14:textId="7E36BADF" w:rsidR="00855028" w:rsidRPr="00AD464F" w:rsidRDefault="00855028" w:rsidP="00855028">
            <w:pPr>
              <w:pStyle w:val="Koptekst"/>
              <w:tabs>
                <w:tab w:val="clear" w:pos="4153"/>
                <w:tab w:val="clear" w:pos="8306"/>
              </w:tabs>
              <w:ind w:left="144"/>
              <w:rPr>
                <w:rFonts w:ascii="Times New Roman" w:hAnsi="Times New Roman"/>
                <w:sz w:val="22"/>
              </w:rPr>
            </w:pPr>
            <w:r>
              <w:rPr>
                <w:rFonts w:ascii="Times New Roman" w:hAnsi="Times New Roman"/>
                <w:sz w:val="22"/>
              </w:rPr>
              <w:t>Hémorragie conjonctivale</w:t>
            </w:r>
          </w:p>
        </w:tc>
        <w:tc>
          <w:tcPr>
            <w:tcW w:w="2700" w:type="dxa"/>
            <w:vAlign w:val="center"/>
          </w:tcPr>
          <w:p w14:paraId="70B4F0F9" w14:textId="30586954" w:rsidR="00855028" w:rsidRPr="00AD464F"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Fréquent (1,7)</w:t>
            </w:r>
          </w:p>
        </w:tc>
        <w:tc>
          <w:tcPr>
            <w:tcW w:w="1440" w:type="dxa"/>
            <w:vAlign w:val="center"/>
          </w:tcPr>
          <w:p w14:paraId="688D775E" w14:textId="2E2DA472" w:rsidR="00855028" w:rsidDel="00EC2076"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0,1</w:t>
            </w:r>
          </w:p>
        </w:tc>
      </w:tr>
      <w:tr w:rsidR="00855028" w:rsidRPr="00AD464F" w14:paraId="7EAFEA47" w14:textId="77777777" w:rsidTr="00757987">
        <w:tc>
          <w:tcPr>
            <w:tcW w:w="2615" w:type="dxa"/>
            <w:vMerge/>
          </w:tcPr>
          <w:p w14:paraId="4736322F" w14:textId="77777777" w:rsidR="00855028" w:rsidRPr="00AD464F" w:rsidRDefault="00855028" w:rsidP="00855028">
            <w:pPr>
              <w:spacing w:line="240" w:lineRule="auto"/>
              <w:rPr>
                <w:szCs w:val="22"/>
              </w:rPr>
            </w:pPr>
          </w:p>
        </w:tc>
        <w:tc>
          <w:tcPr>
            <w:tcW w:w="2070" w:type="dxa"/>
            <w:vAlign w:val="center"/>
          </w:tcPr>
          <w:p w14:paraId="30A8D4CD" w14:textId="16B8AD3D" w:rsidR="00855028" w:rsidRPr="00AD464F" w:rsidRDefault="00855028" w:rsidP="00855028">
            <w:pPr>
              <w:pStyle w:val="Koptekst"/>
              <w:tabs>
                <w:tab w:val="clear" w:pos="4153"/>
                <w:tab w:val="clear" w:pos="8306"/>
              </w:tabs>
              <w:rPr>
                <w:rFonts w:ascii="Times New Roman" w:hAnsi="Times New Roman"/>
                <w:sz w:val="22"/>
                <w:szCs w:val="22"/>
              </w:rPr>
            </w:pPr>
            <w:r w:rsidRPr="00AD464F">
              <w:rPr>
                <w:rFonts w:ascii="Times New Roman" w:hAnsi="Times New Roman"/>
                <w:sz w:val="22"/>
              </w:rPr>
              <w:t>Ecchymose</w:t>
            </w:r>
            <w:r w:rsidRPr="00642E07">
              <w:rPr>
                <w:rFonts w:ascii="Times New Roman" w:hAnsi="Times New Roman"/>
                <w:sz w:val="22"/>
                <w:vertAlign w:val="superscript"/>
              </w:rPr>
              <w:t>b</w:t>
            </w:r>
          </w:p>
        </w:tc>
        <w:tc>
          <w:tcPr>
            <w:tcW w:w="2700" w:type="dxa"/>
            <w:vAlign w:val="center"/>
          </w:tcPr>
          <w:p w14:paraId="4ED4C36B" w14:textId="238B6EC3" w:rsidR="00855028" w:rsidRPr="00AD464F" w:rsidRDefault="00855028" w:rsidP="00855028">
            <w:pPr>
              <w:pStyle w:val="Koptekst"/>
              <w:tabs>
                <w:tab w:val="clear" w:pos="4153"/>
                <w:tab w:val="clear" w:pos="8306"/>
              </w:tabs>
              <w:jc w:val="center"/>
              <w:rPr>
                <w:rFonts w:ascii="Times New Roman" w:hAnsi="Times New Roman"/>
                <w:sz w:val="22"/>
                <w:szCs w:val="22"/>
              </w:rPr>
            </w:pPr>
            <w:r w:rsidRPr="00AD464F">
              <w:rPr>
                <w:rFonts w:ascii="Times New Roman" w:hAnsi="Times New Roman"/>
                <w:sz w:val="22"/>
              </w:rPr>
              <w:t>Très fréquent (</w:t>
            </w:r>
            <w:r>
              <w:rPr>
                <w:rFonts w:ascii="Times New Roman" w:hAnsi="Times New Roman"/>
                <w:sz w:val="22"/>
              </w:rPr>
              <w:t>19,7</w:t>
            </w:r>
            <w:r w:rsidRPr="00AD464F">
              <w:rPr>
                <w:rFonts w:ascii="Times New Roman" w:hAnsi="Times New Roman"/>
                <w:sz w:val="22"/>
              </w:rPr>
              <w:t>)</w:t>
            </w:r>
          </w:p>
        </w:tc>
        <w:tc>
          <w:tcPr>
            <w:tcW w:w="1440" w:type="dxa"/>
            <w:vAlign w:val="center"/>
          </w:tcPr>
          <w:p w14:paraId="46066726" w14:textId="75163387"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szCs w:val="22"/>
              </w:rPr>
              <w:t>0,3</w:t>
            </w:r>
          </w:p>
        </w:tc>
      </w:tr>
      <w:tr w:rsidR="00855028" w:rsidRPr="00AD464F" w14:paraId="2241587B" w14:textId="77777777" w:rsidTr="00757987">
        <w:tc>
          <w:tcPr>
            <w:tcW w:w="2615" w:type="dxa"/>
            <w:vMerge/>
          </w:tcPr>
          <w:p w14:paraId="75DA1E51" w14:textId="77777777" w:rsidR="00855028" w:rsidRPr="00AD464F" w:rsidRDefault="00855028" w:rsidP="00855028">
            <w:pPr>
              <w:spacing w:line="240" w:lineRule="auto"/>
              <w:rPr>
                <w:szCs w:val="22"/>
              </w:rPr>
            </w:pPr>
          </w:p>
        </w:tc>
        <w:tc>
          <w:tcPr>
            <w:tcW w:w="2070" w:type="dxa"/>
          </w:tcPr>
          <w:p w14:paraId="1D7EFE3D" w14:textId="43C736E5" w:rsidR="00855028" w:rsidRPr="00AD464F" w:rsidRDefault="00855028" w:rsidP="00855028">
            <w:pPr>
              <w:pStyle w:val="Koptekst"/>
              <w:tabs>
                <w:tab w:val="clear" w:pos="4153"/>
                <w:tab w:val="clear" w:pos="8306"/>
              </w:tabs>
              <w:ind w:left="144"/>
              <w:rPr>
                <w:rFonts w:ascii="Times New Roman" w:hAnsi="Times New Roman"/>
                <w:sz w:val="22"/>
                <w:szCs w:val="22"/>
              </w:rPr>
            </w:pPr>
            <w:r w:rsidRPr="00AD464F">
              <w:rPr>
                <w:rFonts w:ascii="Times New Roman" w:hAnsi="Times New Roman"/>
                <w:sz w:val="22"/>
              </w:rPr>
              <w:t>Contusion</w:t>
            </w:r>
          </w:p>
        </w:tc>
        <w:tc>
          <w:tcPr>
            <w:tcW w:w="2700" w:type="dxa"/>
            <w:vAlign w:val="center"/>
          </w:tcPr>
          <w:p w14:paraId="5D9FD6BC" w14:textId="20C5642A" w:rsidR="00855028" w:rsidRPr="00AD464F" w:rsidRDefault="00855028" w:rsidP="00855028">
            <w:pPr>
              <w:pStyle w:val="Koptekst"/>
              <w:tabs>
                <w:tab w:val="clear" w:pos="4153"/>
                <w:tab w:val="clear" w:pos="8306"/>
              </w:tabs>
              <w:jc w:val="center"/>
              <w:rPr>
                <w:rFonts w:ascii="Times New Roman" w:hAnsi="Times New Roman"/>
                <w:sz w:val="22"/>
                <w:szCs w:val="22"/>
              </w:rPr>
            </w:pPr>
            <w:r w:rsidRPr="00AD464F">
              <w:rPr>
                <w:rFonts w:ascii="Times New Roman" w:hAnsi="Times New Roman"/>
                <w:sz w:val="22"/>
              </w:rPr>
              <w:t>Très fréquent (</w:t>
            </w:r>
            <w:r>
              <w:rPr>
                <w:rFonts w:ascii="Times New Roman" w:hAnsi="Times New Roman"/>
                <w:sz w:val="22"/>
              </w:rPr>
              <w:t>17,8</w:t>
            </w:r>
            <w:r w:rsidRPr="00AD464F">
              <w:rPr>
                <w:rFonts w:ascii="Times New Roman" w:hAnsi="Times New Roman"/>
                <w:sz w:val="22"/>
              </w:rPr>
              <w:t>)</w:t>
            </w:r>
          </w:p>
        </w:tc>
        <w:tc>
          <w:tcPr>
            <w:tcW w:w="1440" w:type="dxa"/>
            <w:vAlign w:val="center"/>
          </w:tcPr>
          <w:p w14:paraId="202ABA7F" w14:textId="03D9D5BE"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szCs w:val="22"/>
              </w:rPr>
              <w:t>0,1</w:t>
            </w:r>
          </w:p>
        </w:tc>
      </w:tr>
      <w:tr w:rsidR="00855028" w:rsidRPr="00AD464F" w14:paraId="1B0B04FF" w14:textId="77777777" w:rsidTr="00757987">
        <w:tc>
          <w:tcPr>
            <w:tcW w:w="2615" w:type="dxa"/>
            <w:vMerge/>
          </w:tcPr>
          <w:p w14:paraId="6684BF72" w14:textId="77777777" w:rsidR="00855028" w:rsidRPr="00AD464F" w:rsidRDefault="00855028" w:rsidP="00855028">
            <w:pPr>
              <w:spacing w:line="240" w:lineRule="auto"/>
              <w:rPr>
                <w:szCs w:val="22"/>
              </w:rPr>
            </w:pPr>
          </w:p>
        </w:tc>
        <w:tc>
          <w:tcPr>
            <w:tcW w:w="2070" w:type="dxa"/>
          </w:tcPr>
          <w:p w14:paraId="6C13FB14" w14:textId="62BF856F" w:rsidR="00855028" w:rsidRPr="00AD464F" w:rsidRDefault="00855028" w:rsidP="00855028">
            <w:pPr>
              <w:pStyle w:val="Koptekst"/>
              <w:tabs>
                <w:tab w:val="clear" w:pos="4153"/>
                <w:tab w:val="clear" w:pos="8306"/>
              </w:tabs>
              <w:ind w:left="144"/>
              <w:rPr>
                <w:rFonts w:ascii="Times New Roman" w:hAnsi="Times New Roman"/>
                <w:sz w:val="22"/>
                <w:szCs w:val="22"/>
              </w:rPr>
            </w:pPr>
            <w:r w:rsidRPr="00AD464F">
              <w:rPr>
                <w:rFonts w:ascii="Times New Roman" w:hAnsi="Times New Roman"/>
                <w:sz w:val="22"/>
              </w:rPr>
              <w:t>Pétéchies</w:t>
            </w:r>
          </w:p>
        </w:tc>
        <w:tc>
          <w:tcPr>
            <w:tcW w:w="2700" w:type="dxa"/>
            <w:vAlign w:val="center"/>
          </w:tcPr>
          <w:p w14:paraId="74776D2F" w14:textId="566FF280" w:rsidR="00855028" w:rsidRPr="00AD464F" w:rsidRDefault="00855028" w:rsidP="00855028">
            <w:pPr>
              <w:pStyle w:val="Koptekst"/>
              <w:tabs>
                <w:tab w:val="clear" w:pos="4153"/>
                <w:tab w:val="clear" w:pos="8306"/>
              </w:tabs>
              <w:jc w:val="center"/>
              <w:rPr>
                <w:rFonts w:ascii="Times New Roman" w:hAnsi="Times New Roman"/>
                <w:sz w:val="22"/>
                <w:szCs w:val="22"/>
              </w:rPr>
            </w:pPr>
            <w:r w:rsidRPr="00AD464F">
              <w:rPr>
                <w:rFonts w:ascii="Times New Roman" w:hAnsi="Times New Roman"/>
                <w:sz w:val="22"/>
              </w:rPr>
              <w:t>Fréquent (</w:t>
            </w:r>
            <w:r>
              <w:rPr>
                <w:rFonts w:ascii="Times New Roman" w:hAnsi="Times New Roman"/>
                <w:sz w:val="22"/>
              </w:rPr>
              <w:t>5,7</w:t>
            </w:r>
            <w:r w:rsidRPr="00AD464F">
              <w:rPr>
                <w:rFonts w:ascii="Times New Roman" w:hAnsi="Times New Roman"/>
                <w:sz w:val="22"/>
              </w:rPr>
              <w:t>)</w:t>
            </w:r>
          </w:p>
        </w:tc>
        <w:tc>
          <w:tcPr>
            <w:tcW w:w="1440" w:type="dxa"/>
            <w:vAlign w:val="center"/>
          </w:tcPr>
          <w:p w14:paraId="2CDC508D" w14:textId="7FA78900"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szCs w:val="22"/>
              </w:rPr>
              <w:t>0</w:t>
            </w:r>
          </w:p>
        </w:tc>
      </w:tr>
      <w:bookmarkEnd w:id="5"/>
      <w:tr w:rsidR="00855028" w:rsidRPr="00AD464F" w14:paraId="4753CEFB" w14:textId="77777777" w:rsidTr="00757987">
        <w:tc>
          <w:tcPr>
            <w:tcW w:w="2615" w:type="dxa"/>
            <w:vMerge w:val="restart"/>
          </w:tcPr>
          <w:p w14:paraId="21E43A03" w14:textId="77478E08" w:rsidR="00855028" w:rsidRPr="00AD464F" w:rsidRDefault="00855028" w:rsidP="00855028">
            <w:pPr>
              <w:spacing w:line="240" w:lineRule="auto"/>
              <w:rPr>
                <w:szCs w:val="22"/>
              </w:rPr>
            </w:pPr>
            <w:r w:rsidRPr="00AD464F">
              <w:t>Affections gastro-intestinales</w:t>
            </w:r>
          </w:p>
        </w:tc>
        <w:tc>
          <w:tcPr>
            <w:tcW w:w="2070" w:type="dxa"/>
          </w:tcPr>
          <w:p w14:paraId="46C58F6D" w14:textId="3A009B0A" w:rsidR="00855028" w:rsidRPr="00AD464F" w:rsidRDefault="00855028" w:rsidP="00855028">
            <w:pPr>
              <w:rPr>
                <w:szCs w:val="22"/>
              </w:rPr>
            </w:pPr>
            <w:r w:rsidRPr="00AD464F">
              <w:t>Diarrhée</w:t>
            </w:r>
          </w:p>
        </w:tc>
        <w:tc>
          <w:tcPr>
            <w:tcW w:w="2700" w:type="dxa"/>
            <w:vAlign w:val="center"/>
          </w:tcPr>
          <w:p w14:paraId="0364A550" w14:textId="1FB6F856" w:rsidR="00855028" w:rsidRPr="00AD464F" w:rsidRDefault="00855028" w:rsidP="00855028">
            <w:pPr>
              <w:pStyle w:val="Koptekst"/>
              <w:tabs>
                <w:tab w:val="clear" w:pos="4153"/>
                <w:tab w:val="clear" w:pos="8306"/>
              </w:tabs>
              <w:jc w:val="center"/>
              <w:rPr>
                <w:rFonts w:ascii="Times New Roman" w:hAnsi="Times New Roman"/>
                <w:strike/>
                <w:sz w:val="22"/>
                <w:szCs w:val="22"/>
              </w:rPr>
            </w:pPr>
            <w:r w:rsidRPr="00AD464F">
              <w:rPr>
                <w:rFonts w:ascii="Times New Roman" w:hAnsi="Times New Roman"/>
                <w:sz w:val="22"/>
              </w:rPr>
              <w:t>Très fréquent (</w:t>
            </w:r>
            <w:r>
              <w:rPr>
                <w:rFonts w:ascii="Times New Roman" w:hAnsi="Times New Roman"/>
                <w:sz w:val="22"/>
              </w:rPr>
              <w:t>23,8</w:t>
            </w:r>
            <w:r w:rsidRPr="00AD464F">
              <w:rPr>
                <w:rFonts w:ascii="Times New Roman" w:hAnsi="Times New Roman"/>
                <w:sz w:val="22"/>
              </w:rPr>
              <w:t>)</w:t>
            </w:r>
          </w:p>
        </w:tc>
        <w:tc>
          <w:tcPr>
            <w:tcW w:w="1440" w:type="dxa"/>
            <w:vAlign w:val="center"/>
          </w:tcPr>
          <w:p w14:paraId="6556A062" w14:textId="4961BAEE"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rPr>
              <w:t>1,0</w:t>
            </w:r>
          </w:p>
        </w:tc>
      </w:tr>
      <w:tr w:rsidR="00855028" w:rsidRPr="00AD464F" w14:paraId="41095C8A" w14:textId="77777777" w:rsidTr="00757987">
        <w:tc>
          <w:tcPr>
            <w:tcW w:w="2615" w:type="dxa"/>
            <w:vMerge/>
          </w:tcPr>
          <w:p w14:paraId="4AC9947C" w14:textId="77777777" w:rsidR="00855028" w:rsidRPr="00AD464F" w:rsidRDefault="00855028" w:rsidP="00855028">
            <w:pPr>
              <w:spacing w:line="240" w:lineRule="auto"/>
              <w:rPr>
                <w:szCs w:val="22"/>
              </w:rPr>
            </w:pPr>
          </w:p>
        </w:tc>
        <w:tc>
          <w:tcPr>
            <w:tcW w:w="2070" w:type="dxa"/>
          </w:tcPr>
          <w:p w14:paraId="32522AF2" w14:textId="0121DA81" w:rsidR="00855028" w:rsidRPr="00AD464F" w:rsidRDefault="00855028" w:rsidP="00855028">
            <w:r>
              <w:t>Nausée</w:t>
            </w:r>
          </w:p>
        </w:tc>
        <w:tc>
          <w:tcPr>
            <w:tcW w:w="2700" w:type="dxa"/>
            <w:vAlign w:val="center"/>
          </w:tcPr>
          <w:p w14:paraId="15464DD9" w14:textId="55B1638C" w:rsidR="00855028" w:rsidRPr="00AD464F"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Très fréquent (16,7)</w:t>
            </w:r>
          </w:p>
        </w:tc>
        <w:tc>
          <w:tcPr>
            <w:tcW w:w="1440" w:type="dxa"/>
            <w:vAlign w:val="center"/>
          </w:tcPr>
          <w:p w14:paraId="45253FB2" w14:textId="0AC901FC" w:rsidR="00855028"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0,4</w:t>
            </w:r>
          </w:p>
        </w:tc>
      </w:tr>
      <w:tr w:rsidR="00855028" w:rsidRPr="00AD464F" w14:paraId="58B77A38" w14:textId="77777777" w:rsidTr="00757987">
        <w:tc>
          <w:tcPr>
            <w:tcW w:w="2615" w:type="dxa"/>
            <w:vMerge/>
          </w:tcPr>
          <w:p w14:paraId="2A73BB3D" w14:textId="77777777" w:rsidR="00855028" w:rsidRPr="00AD464F" w:rsidRDefault="00855028" w:rsidP="00855028">
            <w:pPr>
              <w:spacing w:line="240" w:lineRule="auto"/>
              <w:rPr>
                <w:szCs w:val="22"/>
              </w:rPr>
            </w:pPr>
          </w:p>
        </w:tc>
        <w:tc>
          <w:tcPr>
            <w:tcW w:w="2070" w:type="dxa"/>
          </w:tcPr>
          <w:p w14:paraId="7EFBBE11" w14:textId="16E6AA56" w:rsidR="00855028" w:rsidRPr="00AD464F" w:rsidRDefault="00855028" w:rsidP="00855028">
            <w:r w:rsidRPr="00AD464F">
              <w:t>Douleur abdominale</w:t>
            </w:r>
          </w:p>
        </w:tc>
        <w:tc>
          <w:tcPr>
            <w:tcW w:w="2700" w:type="dxa"/>
            <w:vAlign w:val="center"/>
          </w:tcPr>
          <w:p w14:paraId="1E2D7DC4" w14:textId="3BA1FF85" w:rsidR="00855028" w:rsidRPr="00AD464F" w:rsidRDefault="00855028" w:rsidP="00855028">
            <w:pPr>
              <w:pStyle w:val="Koptekst"/>
              <w:tabs>
                <w:tab w:val="clear" w:pos="4153"/>
                <w:tab w:val="clear" w:pos="8306"/>
              </w:tabs>
              <w:jc w:val="center"/>
              <w:rPr>
                <w:rFonts w:ascii="Times New Roman" w:hAnsi="Times New Roman"/>
                <w:strike/>
                <w:sz w:val="22"/>
                <w:szCs w:val="22"/>
              </w:rPr>
            </w:pPr>
            <w:r w:rsidRPr="00AD464F">
              <w:rPr>
                <w:rFonts w:ascii="Times New Roman" w:hAnsi="Times New Roman"/>
                <w:sz w:val="22"/>
              </w:rPr>
              <w:t>Très fréquent (</w:t>
            </w:r>
            <w:r>
              <w:rPr>
                <w:rFonts w:ascii="Times New Roman" w:hAnsi="Times New Roman"/>
                <w:sz w:val="22"/>
              </w:rPr>
              <w:t>10,4</w:t>
            </w:r>
            <w:r w:rsidRPr="00AD464F">
              <w:rPr>
                <w:rFonts w:ascii="Times New Roman" w:hAnsi="Times New Roman"/>
                <w:sz w:val="22"/>
              </w:rPr>
              <w:t>)</w:t>
            </w:r>
          </w:p>
        </w:tc>
        <w:tc>
          <w:tcPr>
            <w:tcW w:w="1440" w:type="dxa"/>
            <w:vAlign w:val="center"/>
          </w:tcPr>
          <w:p w14:paraId="100CDE43" w14:textId="3C128182"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rPr>
              <w:t>1,0</w:t>
            </w:r>
          </w:p>
        </w:tc>
      </w:tr>
      <w:tr w:rsidR="00855028" w:rsidRPr="00AD464F" w14:paraId="4D079672" w14:textId="77777777" w:rsidTr="00757987">
        <w:tc>
          <w:tcPr>
            <w:tcW w:w="2615" w:type="dxa"/>
            <w:vMerge/>
          </w:tcPr>
          <w:p w14:paraId="1699D1E3" w14:textId="77777777" w:rsidR="00855028" w:rsidRPr="00AD464F" w:rsidRDefault="00855028" w:rsidP="00855028">
            <w:pPr>
              <w:spacing w:line="240" w:lineRule="auto"/>
              <w:rPr>
                <w:szCs w:val="22"/>
              </w:rPr>
            </w:pPr>
          </w:p>
        </w:tc>
        <w:tc>
          <w:tcPr>
            <w:tcW w:w="2070" w:type="dxa"/>
          </w:tcPr>
          <w:p w14:paraId="2B61F550" w14:textId="50D4763E" w:rsidR="00855028" w:rsidRPr="00AD464F" w:rsidRDefault="00855028" w:rsidP="00855028">
            <w:pPr>
              <w:rPr>
                <w:szCs w:val="22"/>
              </w:rPr>
            </w:pPr>
          </w:p>
        </w:tc>
        <w:tc>
          <w:tcPr>
            <w:tcW w:w="2700" w:type="dxa"/>
            <w:vAlign w:val="center"/>
          </w:tcPr>
          <w:p w14:paraId="12CAB008" w14:textId="7820F164" w:rsidR="00855028" w:rsidRPr="00AD464F" w:rsidRDefault="00855028" w:rsidP="00855028">
            <w:pPr>
              <w:pStyle w:val="Koptekst"/>
              <w:tabs>
                <w:tab w:val="clear" w:pos="4153"/>
                <w:tab w:val="clear" w:pos="8306"/>
              </w:tabs>
              <w:jc w:val="center"/>
              <w:rPr>
                <w:rFonts w:ascii="Times New Roman" w:hAnsi="Times New Roman"/>
                <w:strike/>
                <w:sz w:val="22"/>
                <w:szCs w:val="22"/>
              </w:rPr>
            </w:pPr>
          </w:p>
        </w:tc>
        <w:tc>
          <w:tcPr>
            <w:tcW w:w="1440" w:type="dxa"/>
            <w:vAlign w:val="center"/>
          </w:tcPr>
          <w:p w14:paraId="4EEBF44A" w14:textId="59306F2B" w:rsidR="00855028" w:rsidRPr="00AD464F" w:rsidRDefault="00855028" w:rsidP="00855028">
            <w:pPr>
              <w:pStyle w:val="Koptekst"/>
              <w:tabs>
                <w:tab w:val="clear" w:pos="4153"/>
                <w:tab w:val="clear" w:pos="8306"/>
              </w:tabs>
              <w:jc w:val="center"/>
              <w:rPr>
                <w:rFonts w:ascii="Times New Roman" w:hAnsi="Times New Roman"/>
                <w:sz w:val="22"/>
                <w:szCs w:val="22"/>
              </w:rPr>
            </w:pPr>
          </w:p>
        </w:tc>
      </w:tr>
      <w:tr w:rsidR="00855028" w:rsidRPr="00AD464F" w14:paraId="72F3B10F" w14:textId="77777777" w:rsidTr="00757987">
        <w:tc>
          <w:tcPr>
            <w:tcW w:w="2615" w:type="dxa"/>
          </w:tcPr>
          <w:p w14:paraId="6A36B20A" w14:textId="767F6603" w:rsidR="00855028" w:rsidRPr="00AD464F" w:rsidRDefault="00855028" w:rsidP="00855028">
            <w:pPr>
              <w:spacing w:line="240" w:lineRule="auto"/>
              <w:rPr>
                <w:szCs w:val="22"/>
              </w:rPr>
            </w:pPr>
            <w:r w:rsidRPr="00AD464F">
              <w:t>Affections de la peau et du tissu sous-cutané</w:t>
            </w:r>
          </w:p>
        </w:tc>
        <w:tc>
          <w:tcPr>
            <w:tcW w:w="2070" w:type="dxa"/>
          </w:tcPr>
          <w:p w14:paraId="2B1123A1" w14:textId="6B7B7DD3" w:rsidR="00855028" w:rsidRPr="00AD464F" w:rsidRDefault="00855028" w:rsidP="00855028">
            <w:pPr>
              <w:pStyle w:val="Koptekst"/>
              <w:tabs>
                <w:tab w:val="clear" w:pos="4153"/>
                <w:tab w:val="clear" w:pos="8306"/>
              </w:tabs>
              <w:rPr>
                <w:rFonts w:ascii="Times New Roman" w:hAnsi="Times New Roman"/>
                <w:iCs/>
                <w:sz w:val="22"/>
                <w:szCs w:val="22"/>
                <w:vertAlign w:val="superscript"/>
              </w:rPr>
            </w:pPr>
            <w:r w:rsidRPr="00AD464F">
              <w:rPr>
                <w:rFonts w:ascii="Times New Roman" w:hAnsi="Times New Roman"/>
                <w:sz w:val="22"/>
              </w:rPr>
              <w:t>Éruption cutanée</w:t>
            </w:r>
            <w:r w:rsidRPr="00AD464F">
              <w:rPr>
                <w:rFonts w:ascii="Times New Roman" w:hAnsi="Times New Roman"/>
                <w:sz w:val="22"/>
                <w:vertAlign w:val="superscript"/>
              </w:rPr>
              <w:t>b</w:t>
            </w:r>
          </w:p>
        </w:tc>
        <w:tc>
          <w:tcPr>
            <w:tcW w:w="2700" w:type="dxa"/>
            <w:vAlign w:val="center"/>
          </w:tcPr>
          <w:p w14:paraId="456AEE8A" w14:textId="22D97BF8" w:rsidR="00855028" w:rsidRPr="00AD464F" w:rsidRDefault="00855028" w:rsidP="00855028">
            <w:pPr>
              <w:pStyle w:val="Koptekst"/>
              <w:tabs>
                <w:tab w:val="clear" w:pos="4153"/>
                <w:tab w:val="clear" w:pos="8306"/>
              </w:tabs>
              <w:jc w:val="center"/>
              <w:rPr>
                <w:rFonts w:ascii="Times New Roman" w:hAnsi="Times New Roman"/>
                <w:strike/>
                <w:sz w:val="22"/>
                <w:szCs w:val="22"/>
              </w:rPr>
            </w:pPr>
            <w:r w:rsidRPr="00AD464F">
              <w:rPr>
                <w:rFonts w:ascii="Times New Roman" w:hAnsi="Times New Roman"/>
                <w:sz w:val="22"/>
              </w:rPr>
              <w:t>Très fréquent (</w:t>
            </w:r>
            <w:r>
              <w:rPr>
                <w:rFonts w:ascii="Times New Roman" w:hAnsi="Times New Roman"/>
                <w:sz w:val="22"/>
              </w:rPr>
              <w:t>18,4</w:t>
            </w:r>
            <w:r w:rsidRPr="00AD464F">
              <w:rPr>
                <w:rFonts w:ascii="Times New Roman" w:hAnsi="Times New Roman"/>
                <w:sz w:val="22"/>
              </w:rPr>
              <w:t>)</w:t>
            </w:r>
          </w:p>
        </w:tc>
        <w:tc>
          <w:tcPr>
            <w:tcW w:w="1440" w:type="dxa"/>
            <w:vAlign w:val="center"/>
          </w:tcPr>
          <w:p w14:paraId="0903D449" w14:textId="0C75AFA4"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rPr>
              <w:t>1,2</w:t>
            </w:r>
          </w:p>
        </w:tc>
      </w:tr>
      <w:tr w:rsidR="00855028" w:rsidRPr="00AD464F" w14:paraId="2B4B39BB" w14:textId="77777777" w:rsidTr="00757987">
        <w:tc>
          <w:tcPr>
            <w:tcW w:w="2615" w:type="dxa"/>
          </w:tcPr>
          <w:p w14:paraId="7BD628AA" w14:textId="1B7EBD3E" w:rsidR="00855028" w:rsidRPr="00AD464F" w:rsidRDefault="00855028" w:rsidP="00855028">
            <w:pPr>
              <w:spacing w:line="240" w:lineRule="auto"/>
              <w:rPr>
                <w:szCs w:val="22"/>
              </w:rPr>
            </w:pPr>
            <w:r w:rsidRPr="00AD464F">
              <w:t>Affections musculo-squelettiques et systémiques</w:t>
            </w:r>
          </w:p>
        </w:tc>
        <w:tc>
          <w:tcPr>
            <w:tcW w:w="2070" w:type="dxa"/>
          </w:tcPr>
          <w:p w14:paraId="598D719E" w14:textId="3345A4AC" w:rsidR="00855028" w:rsidRPr="00AD464F" w:rsidRDefault="00855028" w:rsidP="00855028">
            <w:pPr>
              <w:pStyle w:val="Koptekst"/>
              <w:tabs>
                <w:tab w:val="clear" w:pos="4153"/>
                <w:tab w:val="clear" w:pos="8306"/>
              </w:tabs>
              <w:rPr>
                <w:rFonts w:ascii="Times New Roman" w:hAnsi="Times New Roman"/>
                <w:sz w:val="22"/>
              </w:rPr>
            </w:pPr>
            <w:r w:rsidRPr="00AD464F">
              <w:rPr>
                <w:rFonts w:ascii="Times New Roman" w:hAnsi="Times New Roman"/>
                <w:sz w:val="22"/>
              </w:rPr>
              <w:t>Arthralgie</w:t>
            </w:r>
          </w:p>
        </w:tc>
        <w:tc>
          <w:tcPr>
            <w:tcW w:w="2700" w:type="dxa"/>
            <w:vAlign w:val="center"/>
          </w:tcPr>
          <w:p w14:paraId="0E21B4B1" w14:textId="3A8F4A56" w:rsidR="00855028" w:rsidRPr="00AD464F" w:rsidRDefault="00855028" w:rsidP="00855028">
            <w:pPr>
              <w:pStyle w:val="Koptekst"/>
              <w:tabs>
                <w:tab w:val="clear" w:pos="4153"/>
                <w:tab w:val="clear" w:pos="8306"/>
              </w:tabs>
              <w:jc w:val="center"/>
              <w:rPr>
                <w:rFonts w:ascii="Times New Roman" w:hAnsi="Times New Roman"/>
                <w:strike/>
                <w:sz w:val="22"/>
                <w:szCs w:val="22"/>
              </w:rPr>
            </w:pPr>
            <w:r w:rsidRPr="00AD464F">
              <w:rPr>
                <w:rFonts w:ascii="Times New Roman" w:hAnsi="Times New Roman"/>
                <w:sz w:val="22"/>
              </w:rPr>
              <w:t>Très fréquent (</w:t>
            </w:r>
            <w:r>
              <w:rPr>
                <w:rFonts w:ascii="Times New Roman" w:hAnsi="Times New Roman"/>
                <w:sz w:val="22"/>
              </w:rPr>
              <w:t>14,6</w:t>
            </w:r>
            <w:r w:rsidRPr="00AD464F">
              <w:rPr>
                <w:rFonts w:ascii="Times New Roman" w:hAnsi="Times New Roman"/>
                <w:sz w:val="22"/>
              </w:rPr>
              <w:t>)</w:t>
            </w:r>
          </w:p>
        </w:tc>
        <w:tc>
          <w:tcPr>
            <w:tcW w:w="1440" w:type="dxa"/>
            <w:vAlign w:val="center"/>
          </w:tcPr>
          <w:p w14:paraId="70BA047E" w14:textId="2623A959"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rPr>
              <w:t>1,2</w:t>
            </w:r>
          </w:p>
        </w:tc>
      </w:tr>
      <w:tr w:rsidR="00855028" w:rsidRPr="00AD464F" w14:paraId="5D73032D" w14:textId="1549C3D6" w:rsidTr="00757987">
        <w:tc>
          <w:tcPr>
            <w:tcW w:w="2615" w:type="dxa"/>
            <w:vMerge w:val="restart"/>
          </w:tcPr>
          <w:p w14:paraId="6B991F99" w14:textId="6EB13CE9" w:rsidR="00855028" w:rsidRPr="00AD464F" w:rsidRDefault="00855028" w:rsidP="00855028">
            <w:pPr>
              <w:spacing w:line="240" w:lineRule="auto"/>
              <w:rPr>
                <w:szCs w:val="22"/>
              </w:rPr>
            </w:pPr>
            <w:r w:rsidRPr="00AD464F">
              <w:t>Troubles généraux et anomalies au site d’administration</w:t>
            </w:r>
          </w:p>
        </w:tc>
        <w:tc>
          <w:tcPr>
            <w:tcW w:w="2070" w:type="dxa"/>
          </w:tcPr>
          <w:p w14:paraId="727FD7D7" w14:textId="6ED4DD68" w:rsidR="00855028" w:rsidRPr="00AD464F" w:rsidRDefault="00855028" w:rsidP="00855028">
            <w:pPr>
              <w:pStyle w:val="Koptekst"/>
              <w:tabs>
                <w:tab w:val="clear" w:pos="4153"/>
                <w:tab w:val="clear" w:pos="8306"/>
              </w:tabs>
              <w:rPr>
                <w:rFonts w:ascii="Times New Roman" w:hAnsi="Times New Roman"/>
                <w:iCs/>
                <w:sz w:val="22"/>
                <w:szCs w:val="22"/>
              </w:rPr>
            </w:pPr>
            <w:r w:rsidRPr="00AD464F">
              <w:rPr>
                <w:rFonts w:ascii="Times New Roman" w:hAnsi="Times New Roman"/>
                <w:sz w:val="22"/>
              </w:rPr>
              <w:t>Fatigue</w:t>
            </w:r>
          </w:p>
        </w:tc>
        <w:tc>
          <w:tcPr>
            <w:tcW w:w="2700" w:type="dxa"/>
            <w:vAlign w:val="center"/>
          </w:tcPr>
          <w:p w14:paraId="101EFFA4" w14:textId="3198A062" w:rsidR="00855028" w:rsidRPr="00AD464F" w:rsidRDefault="00855028" w:rsidP="00855028">
            <w:pPr>
              <w:pStyle w:val="Koptekst"/>
              <w:tabs>
                <w:tab w:val="clear" w:pos="4153"/>
                <w:tab w:val="clear" w:pos="8306"/>
              </w:tabs>
              <w:jc w:val="center"/>
              <w:rPr>
                <w:rFonts w:ascii="Times New Roman" w:hAnsi="Times New Roman"/>
                <w:strike/>
                <w:sz w:val="22"/>
                <w:szCs w:val="22"/>
              </w:rPr>
            </w:pPr>
            <w:r w:rsidRPr="00AD464F">
              <w:rPr>
                <w:rFonts w:ascii="Times New Roman" w:hAnsi="Times New Roman"/>
                <w:sz w:val="22"/>
              </w:rPr>
              <w:t>Très fréquent (</w:t>
            </w:r>
            <w:r>
              <w:rPr>
                <w:rFonts w:ascii="Times New Roman" w:hAnsi="Times New Roman"/>
                <w:sz w:val="22"/>
              </w:rPr>
              <w:t>26,2</w:t>
            </w:r>
            <w:r w:rsidRPr="00AD464F">
              <w:rPr>
                <w:rFonts w:ascii="Times New Roman" w:hAnsi="Times New Roman"/>
                <w:sz w:val="22"/>
              </w:rPr>
              <w:t>)</w:t>
            </w:r>
          </w:p>
        </w:tc>
        <w:tc>
          <w:tcPr>
            <w:tcW w:w="1440" w:type="dxa"/>
            <w:vAlign w:val="center"/>
          </w:tcPr>
          <w:p w14:paraId="49EAB671" w14:textId="474DAACA" w:rsidR="00855028" w:rsidRPr="00AD464F" w:rsidRDefault="00855028" w:rsidP="00855028">
            <w:pPr>
              <w:pStyle w:val="Koptekst"/>
              <w:tabs>
                <w:tab w:val="clear" w:pos="4153"/>
                <w:tab w:val="clear" w:pos="8306"/>
              </w:tabs>
              <w:jc w:val="center"/>
              <w:rPr>
                <w:rFonts w:ascii="Times New Roman" w:hAnsi="Times New Roman"/>
                <w:sz w:val="22"/>
                <w:szCs w:val="22"/>
              </w:rPr>
            </w:pPr>
            <w:r>
              <w:rPr>
                <w:rFonts w:ascii="Times New Roman" w:hAnsi="Times New Roman"/>
                <w:sz w:val="22"/>
              </w:rPr>
              <w:t>1,9</w:t>
            </w:r>
          </w:p>
        </w:tc>
      </w:tr>
      <w:tr w:rsidR="00855028" w:rsidRPr="00AD464F" w14:paraId="0409AF09" w14:textId="77777777" w:rsidTr="00757987">
        <w:tc>
          <w:tcPr>
            <w:tcW w:w="2615" w:type="dxa"/>
            <w:vMerge/>
          </w:tcPr>
          <w:p w14:paraId="297B918E" w14:textId="77777777" w:rsidR="00855028" w:rsidRPr="00AD464F" w:rsidRDefault="00855028" w:rsidP="00855028">
            <w:pPr>
              <w:spacing w:line="240" w:lineRule="auto"/>
            </w:pPr>
          </w:p>
        </w:tc>
        <w:tc>
          <w:tcPr>
            <w:tcW w:w="2070" w:type="dxa"/>
          </w:tcPr>
          <w:p w14:paraId="048BB208" w14:textId="66808B9B" w:rsidR="00855028" w:rsidRPr="00AD464F" w:rsidRDefault="00855028" w:rsidP="00855028">
            <w:pPr>
              <w:pStyle w:val="Koptekst"/>
              <w:tabs>
                <w:tab w:val="clear" w:pos="4153"/>
                <w:tab w:val="clear" w:pos="8306"/>
              </w:tabs>
              <w:rPr>
                <w:rFonts w:ascii="Times New Roman" w:hAnsi="Times New Roman"/>
                <w:sz w:val="22"/>
              </w:rPr>
            </w:pPr>
            <w:r>
              <w:rPr>
                <w:rFonts w:ascii="Times New Roman" w:hAnsi="Times New Roman"/>
                <w:sz w:val="22"/>
              </w:rPr>
              <w:t>Œdème périphérique</w:t>
            </w:r>
          </w:p>
        </w:tc>
        <w:tc>
          <w:tcPr>
            <w:tcW w:w="2700" w:type="dxa"/>
            <w:vAlign w:val="center"/>
          </w:tcPr>
          <w:p w14:paraId="7E398E48" w14:textId="1A9EE2D8" w:rsidR="00855028" w:rsidRPr="00AD464F"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Très fréquent (11,6)</w:t>
            </w:r>
          </w:p>
        </w:tc>
        <w:tc>
          <w:tcPr>
            <w:tcW w:w="1440" w:type="dxa"/>
            <w:vAlign w:val="center"/>
          </w:tcPr>
          <w:p w14:paraId="011454E6" w14:textId="02545385" w:rsidR="00855028" w:rsidDel="003F7546" w:rsidRDefault="00855028" w:rsidP="00855028">
            <w:pPr>
              <w:pStyle w:val="Koptekst"/>
              <w:tabs>
                <w:tab w:val="clear" w:pos="4153"/>
                <w:tab w:val="clear" w:pos="8306"/>
              </w:tabs>
              <w:jc w:val="center"/>
              <w:rPr>
                <w:rFonts w:ascii="Times New Roman" w:hAnsi="Times New Roman"/>
                <w:sz w:val="22"/>
              </w:rPr>
            </w:pPr>
            <w:r>
              <w:rPr>
                <w:rFonts w:ascii="Times New Roman" w:hAnsi="Times New Roman"/>
                <w:sz w:val="22"/>
              </w:rPr>
              <w:t>0,3</w:t>
            </w:r>
          </w:p>
        </w:tc>
      </w:tr>
    </w:tbl>
    <w:bookmarkEnd w:id="4"/>
    <w:p w14:paraId="31DB5AFF" w14:textId="67A5D06E" w:rsidR="00121BC9" w:rsidRPr="00AD464F" w:rsidRDefault="004931FA" w:rsidP="004931FA">
      <w:pPr>
        <w:pStyle w:val="TblFootnote"/>
        <w:keepNext w:val="0"/>
        <w:keepLines w:val="0"/>
        <w:rPr>
          <w:rFonts w:eastAsia="SimSun"/>
        </w:rPr>
      </w:pPr>
      <w:r w:rsidRPr="00AD464F">
        <w:rPr>
          <w:vertAlign w:val="superscript"/>
        </w:rPr>
        <w:t>a</w:t>
      </w:r>
      <w:r w:rsidRPr="00AD464F">
        <w:tab/>
        <w:t>Les fréquences sont dérivées de l</w:t>
      </w:r>
      <w:r w:rsidR="00D3466E">
        <w:t>’</w:t>
      </w:r>
      <w:r w:rsidRPr="00AD464F">
        <w:t>exposition à Jaypirca chez des patients atteints de tumeurs malignes à cellules</w:t>
      </w:r>
      <w:r w:rsidR="00F01488">
        <w:t> </w:t>
      </w:r>
      <w:r w:rsidRPr="00AD464F">
        <w:t>B</w:t>
      </w:r>
    </w:p>
    <w:p w14:paraId="204DB482" w14:textId="5F39F828" w:rsidR="004931FA" w:rsidRPr="00AD464F" w:rsidRDefault="00121BC9" w:rsidP="004931FA">
      <w:pPr>
        <w:pStyle w:val="TblFootnote"/>
        <w:keepNext w:val="0"/>
        <w:keepLines w:val="0"/>
        <w:rPr>
          <w:rFonts w:eastAsia="SimSun" w:cs="Arial"/>
        </w:rPr>
      </w:pPr>
      <w:r w:rsidRPr="00AD464F">
        <w:rPr>
          <w:vertAlign w:val="superscript"/>
        </w:rPr>
        <w:t>b</w:t>
      </w:r>
      <w:r w:rsidRPr="00AD464F">
        <w:tab/>
        <w:t>Comprend plusieurs termes d</w:t>
      </w:r>
      <w:r w:rsidR="00D3466E">
        <w:t>’</w:t>
      </w:r>
      <w:r w:rsidRPr="00AD464F">
        <w:t xml:space="preserve">effets indésirables </w:t>
      </w:r>
    </w:p>
    <w:p w14:paraId="4DAA1657" w14:textId="4DF1FB76" w:rsidR="006D4E57" w:rsidRPr="00AD464F" w:rsidRDefault="00121BC9" w:rsidP="003D26A3">
      <w:pPr>
        <w:pStyle w:val="TblFootnote"/>
        <w:keepNext w:val="0"/>
        <w:keepLines w:val="0"/>
      </w:pPr>
      <w:r w:rsidRPr="00AD464F">
        <w:rPr>
          <w:vertAlign w:val="superscript"/>
        </w:rPr>
        <w:t>c</w:t>
      </w:r>
      <w:r w:rsidRPr="00AD464F">
        <w:tab/>
        <w:t>Attribution d</w:t>
      </w:r>
      <w:r w:rsidR="00D3466E">
        <w:t>’</w:t>
      </w:r>
      <w:r w:rsidRPr="00AD464F">
        <w:t>un grade de sévérité selon les Critères communs de terminologie pour les événements indésirables de l’Institut national américain du cancer (NCI CTCAE), version 5.0</w:t>
      </w:r>
    </w:p>
    <w:p w14:paraId="4319381E" w14:textId="77777777" w:rsidR="004931FA" w:rsidRPr="00AD464F" w:rsidRDefault="004931FA" w:rsidP="001827CE">
      <w:pPr>
        <w:autoSpaceDE w:val="0"/>
        <w:autoSpaceDN w:val="0"/>
        <w:adjustRightInd w:val="0"/>
        <w:spacing w:line="240" w:lineRule="auto"/>
        <w:jc w:val="both"/>
        <w:rPr>
          <w:szCs w:val="22"/>
        </w:rPr>
      </w:pPr>
    </w:p>
    <w:p w14:paraId="5E26A2DF" w14:textId="77777777" w:rsidR="00C51835" w:rsidRPr="00B74A3B" w:rsidRDefault="00C51835" w:rsidP="00C51835">
      <w:pPr>
        <w:keepNext/>
        <w:autoSpaceDE w:val="0"/>
        <w:autoSpaceDN w:val="0"/>
        <w:adjustRightInd w:val="0"/>
        <w:spacing w:line="240" w:lineRule="auto"/>
        <w:rPr>
          <w:u w:val="single"/>
        </w:rPr>
      </w:pPr>
      <w:r w:rsidRPr="00B74A3B">
        <w:rPr>
          <w:u w:val="single"/>
        </w:rPr>
        <w:t>Déclaration des effets indésirables suspectés</w:t>
      </w:r>
    </w:p>
    <w:p w14:paraId="0B43363B" w14:textId="77777777" w:rsidR="00C51835" w:rsidRPr="00B74A3B" w:rsidRDefault="00C51835" w:rsidP="00C51835">
      <w:pPr>
        <w:keepNext/>
        <w:autoSpaceDE w:val="0"/>
        <w:autoSpaceDN w:val="0"/>
        <w:adjustRightInd w:val="0"/>
        <w:spacing w:line="240" w:lineRule="auto"/>
      </w:pPr>
    </w:p>
    <w:p w14:paraId="35ECBC3B" w14:textId="77777777" w:rsidR="00B937FE" w:rsidRDefault="00C51835" w:rsidP="00C51835">
      <w:pPr>
        <w:keepNext/>
        <w:autoSpaceDE w:val="0"/>
        <w:autoSpaceDN w:val="0"/>
        <w:adjustRightInd w:val="0"/>
        <w:spacing w:line="240" w:lineRule="auto"/>
      </w:pPr>
      <w:r w:rsidRPr="00B74A3B">
        <w:t>La déclaration des effets indésirables suspectés après autorisation du médicament est importante. Elle permet une surveillance continue du rapport bénéfice/risque du médicament. Les professionnels de santé déclarent tout effet indésirable suspecté via</w:t>
      </w:r>
      <w:r w:rsidR="00B937FE">
        <w:t> :</w:t>
      </w:r>
    </w:p>
    <w:p w14:paraId="616B85E6" w14:textId="77777777" w:rsidR="00B937FE" w:rsidRPr="00B937FE" w:rsidRDefault="00B937FE" w:rsidP="00B937FE">
      <w:pPr>
        <w:keepNext/>
        <w:autoSpaceDE w:val="0"/>
        <w:autoSpaceDN w:val="0"/>
        <w:adjustRightInd w:val="0"/>
        <w:spacing w:line="240" w:lineRule="auto"/>
        <w:rPr>
          <w:lang w:val="fr-BE"/>
        </w:rPr>
      </w:pPr>
      <w:r w:rsidRPr="00B937FE">
        <w:rPr>
          <w:u w:val="single"/>
          <w:lang w:val="fr-BE"/>
        </w:rPr>
        <w:t>Belgique</w:t>
      </w:r>
      <w:r w:rsidRPr="00B937FE">
        <w:rPr>
          <w:lang w:val="fr-BE"/>
        </w:rPr>
        <w:t xml:space="preserve"> :</w:t>
      </w:r>
    </w:p>
    <w:p w14:paraId="74FCAC48" w14:textId="1635EC44" w:rsidR="00B937FE" w:rsidRPr="00B937FE" w:rsidRDefault="00B937FE" w:rsidP="00B937FE">
      <w:pPr>
        <w:keepNext/>
        <w:autoSpaceDE w:val="0"/>
        <w:autoSpaceDN w:val="0"/>
        <w:adjustRightInd w:val="0"/>
        <w:spacing w:line="240" w:lineRule="auto"/>
        <w:rPr>
          <w:lang w:val="fr-BE"/>
        </w:rPr>
      </w:pPr>
      <w:r w:rsidRPr="00B937FE">
        <w:rPr>
          <w:lang w:val="fr-BE"/>
        </w:rPr>
        <w:t>Agence fédérale des médicaments et des produits de santé, www.afmps.be, Division Vigilance: Site internet: www.notifieruneffetindesirable.be, e-mail: adr@fagg-afmps.be.</w:t>
      </w:r>
    </w:p>
    <w:p w14:paraId="1C6A3D4B" w14:textId="77777777" w:rsidR="00B937FE" w:rsidRPr="00B937FE" w:rsidRDefault="00B937FE" w:rsidP="00B937FE">
      <w:pPr>
        <w:keepNext/>
        <w:autoSpaceDE w:val="0"/>
        <w:autoSpaceDN w:val="0"/>
        <w:adjustRightInd w:val="0"/>
        <w:spacing w:line="240" w:lineRule="auto"/>
        <w:rPr>
          <w:lang w:val="fr-BE"/>
        </w:rPr>
      </w:pPr>
      <w:r w:rsidRPr="00B937FE">
        <w:rPr>
          <w:u w:val="single"/>
          <w:lang w:val="fr-BE"/>
        </w:rPr>
        <w:t>Luxembourg</w:t>
      </w:r>
      <w:r w:rsidRPr="00B937FE">
        <w:rPr>
          <w:lang w:val="fr-BE"/>
        </w:rPr>
        <w:t> :</w:t>
      </w:r>
    </w:p>
    <w:p w14:paraId="32BE38E5" w14:textId="00212E36" w:rsidR="00B937FE" w:rsidRPr="00B937FE" w:rsidRDefault="00B937FE" w:rsidP="00B937FE">
      <w:pPr>
        <w:keepNext/>
        <w:autoSpaceDE w:val="0"/>
        <w:autoSpaceDN w:val="0"/>
        <w:adjustRightInd w:val="0"/>
        <w:spacing w:line="240" w:lineRule="auto"/>
        <w:rPr>
          <w:lang w:val="fr-BE"/>
        </w:rPr>
      </w:pPr>
      <w:r w:rsidRPr="00B937FE">
        <w:rPr>
          <w:lang w:val="fr-BE"/>
        </w:rPr>
        <w:t>Centre Régional de Pharmacovigilance de Nancy ou Division de la pharmacie et des médicaments de la Direction de la santé. Site internet : www.guichet.lu/pharmacovigilance.</w:t>
      </w:r>
    </w:p>
    <w:p w14:paraId="535BA1A4" w14:textId="77777777" w:rsidR="008D35AD" w:rsidRPr="00C51835" w:rsidRDefault="008D35AD" w:rsidP="00204AAB">
      <w:pPr>
        <w:spacing w:line="240" w:lineRule="auto"/>
        <w:rPr>
          <w:noProof/>
          <w:szCs w:val="22"/>
        </w:rPr>
      </w:pPr>
    </w:p>
    <w:p w14:paraId="6C673ED8" w14:textId="135A31E0" w:rsidR="00B1206E" w:rsidRPr="00B74A3B" w:rsidRDefault="00B1206E" w:rsidP="00B1206E">
      <w:pPr>
        <w:keepNext/>
        <w:spacing w:line="240" w:lineRule="auto"/>
        <w:ind w:left="567" w:hanging="567"/>
        <w:outlineLvl w:val="0"/>
        <w:rPr>
          <w:noProof/>
        </w:rPr>
      </w:pPr>
      <w:r w:rsidRPr="00B74A3B">
        <w:rPr>
          <w:b/>
        </w:rPr>
        <w:t>4.9</w:t>
      </w:r>
      <w:r w:rsidRPr="00B74A3B">
        <w:rPr>
          <w:b/>
        </w:rPr>
        <w:tab/>
        <w:t>Surdosage</w:t>
      </w:r>
      <w:r w:rsidR="00D944F9">
        <w:rPr>
          <w:b/>
        </w:rPr>
        <w:fldChar w:fldCharType="begin"/>
      </w:r>
      <w:r w:rsidR="00D944F9">
        <w:rPr>
          <w:b/>
        </w:rPr>
        <w:instrText xml:space="preserve"> DOCVARIABLE vault_nd_e4fc1371-357b-4dc6-953b-163b517fa460 \* MERGEFORMAT </w:instrText>
      </w:r>
      <w:r w:rsidR="00D944F9">
        <w:rPr>
          <w:b/>
        </w:rPr>
        <w:fldChar w:fldCharType="separate"/>
      </w:r>
      <w:r w:rsidR="00D944F9">
        <w:rPr>
          <w:b/>
        </w:rPr>
        <w:t xml:space="preserve"> </w:t>
      </w:r>
      <w:r w:rsidR="00D944F9">
        <w:rPr>
          <w:b/>
        </w:rPr>
        <w:fldChar w:fldCharType="end"/>
      </w:r>
    </w:p>
    <w:p w14:paraId="411035BF" w14:textId="14CA3610" w:rsidR="00812D16" w:rsidRPr="00AD464F" w:rsidRDefault="00812D16" w:rsidP="009377E5">
      <w:pPr>
        <w:keepNext/>
        <w:spacing w:line="240" w:lineRule="auto"/>
        <w:rPr>
          <w:noProof/>
          <w:szCs w:val="22"/>
        </w:rPr>
      </w:pPr>
    </w:p>
    <w:p w14:paraId="3824C3EF" w14:textId="33862ED2" w:rsidR="00743FD5" w:rsidRPr="00AD464F" w:rsidRDefault="00743FD5" w:rsidP="00743FD5">
      <w:pPr>
        <w:keepNext/>
        <w:tabs>
          <w:tab w:val="clear" w:pos="567"/>
        </w:tabs>
        <w:autoSpaceDE w:val="0"/>
        <w:autoSpaceDN w:val="0"/>
        <w:adjustRightInd w:val="0"/>
        <w:spacing w:line="240" w:lineRule="auto"/>
        <w:rPr>
          <w:rFonts w:eastAsia="SimSun"/>
        </w:rPr>
      </w:pPr>
      <w:r w:rsidRPr="00AD464F">
        <w:t>Aucune dose maximale tolérée n</w:t>
      </w:r>
      <w:r w:rsidR="00D3466E">
        <w:t>’</w:t>
      </w:r>
      <w:r w:rsidRPr="00AD464F">
        <w:t>a été atteinte dans l'étude de phase</w:t>
      </w:r>
      <w:r w:rsidR="006322F4">
        <w:t> </w:t>
      </w:r>
      <w:r w:rsidRPr="00AD464F">
        <w:t>1 au cours de laquelle les patients ont reçu des doses répétées allant jusqu</w:t>
      </w:r>
      <w:r w:rsidR="00D3466E">
        <w:t>’</w:t>
      </w:r>
      <w:r w:rsidRPr="00AD464F">
        <w:t>à 300 mg une fois par jour. Dans des études chez des volontaires sains, aucune toxicité liée à la dose n</w:t>
      </w:r>
      <w:r w:rsidR="00D3466E">
        <w:t>’</w:t>
      </w:r>
      <w:r w:rsidRPr="00AD464F">
        <w:t>a été observée lorsqu</w:t>
      </w:r>
      <w:r w:rsidR="00D3466E">
        <w:t>’</w:t>
      </w:r>
      <w:r w:rsidRPr="00AD464F">
        <w:t>une dose unique maximale de 900 mg a été administrée. Les signes et symptômes d</w:t>
      </w:r>
      <w:r w:rsidR="00D3466E">
        <w:t>’</w:t>
      </w:r>
      <w:r w:rsidRPr="00AD464F">
        <w:t>un surdosage en pirtobrutinib n</w:t>
      </w:r>
      <w:r w:rsidR="00D3466E">
        <w:t>’</w:t>
      </w:r>
      <w:r w:rsidRPr="00AD464F">
        <w:t>ont pas été établis et il n</w:t>
      </w:r>
      <w:r w:rsidR="00D3466E">
        <w:t>’</w:t>
      </w:r>
      <w:r w:rsidRPr="00AD464F">
        <w:t xml:space="preserve">existe aucun traitement spécifique du surdosage en pirtobrutinib. </w:t>
      </w:r>
    </w:p>
    <w:p w14:paraId="25EAB13C" w14:textId="42758610" w:rsidR="00674492" w:rsidRPr="00AD464F" w:rsidRDefault="00743FD5" w:rsidP="00743FD5">
      <w:pPr>
        <w:keepNext/>
        <w:tabs>
          <w:tab w:val="clear" w:pos="567"/>
        </w:tabs>
        <w:autoSpaceDE w:val="0"/>
        <w:autoSpaceDN w:val="0"/>
        <w:adjustRightInd w:val="0"/>
        <w:spacing w:line="240" w:lineRule="auto"/>
        <w:rPr>
          <w:szCs w:val="22"/>
        </w:rPr>
      </w:pPr>
      <w:r w:rsidRPr="00AD464F">
        <w:t xml:space="preserve">Les patients qui présentent un surdosage doivent être étroitement surveillés et un traitement symptomatique approprié doit être mis en place. </w:t>
      </w:r>
    </w:p>
    <w:p w14:paraId="379E2443" w14:textId="77777777" w:rsidR="00674492" w:rsidRPr="00AD464F" w:rsidRDefault="00674492" w:rsidP="00674492">
      <w:pPr>
        <w:spacing w:line="240" w:lineRule="auto"/>
        <w:rPr>
          <w:noProof/>
          <w:szCs w:val="22"/>
        </w:rPr>
      </w:pPr>
    </w:p>
    <w:p w14:paraId="48E1F388" w14:textId="77777777" w:rsidR="00FE1BD0" w:rsidRPr="00AD464F" w:rsidRDefault="00FE1BD0" w:rsidP="009377E5">
      <w:pPr>
        <w:keepNext/>
        <w:spacing w:line="240" w:lineRule="auto"/>
        <w:rPr>
          <w:noProof/>
          <w:szCs w:val="22"/>
        </w:rPr>
      </w:pPr>
    </w:p>
    <w:p w14:paraId="0E3D1AB3" w14:textId="7085D25E" w:rsidR="000D4A4C" w:rsidRPr="00B74A3B" w:rsidRDefault="000D4A4C" w:rsidP="000D4A4C">
      <w:pPr>
        <w:keepNext/>
        <w:spacing w:line="240" w:lineRule="auto"/>
        <w:ind w:left="567" w:hanging="567"/>
        <w:outlineLvl w:val="0"/>
      </w:pPr>
      <w:r w:rsidRPr="00B74A3B">
        <w:rPr>
          <w:b/>
        </w:rPr>
        <w:t>5.</w:t>
      </w:r>
      <w:r w:rsidRPr="00B74A3B">
        <w:rPr>
          <w:b/>
        </w:rPr>
        <w:tab/>
        <w:t>PROPRIÉTÉS PHARMACOLOGIQUES</w:t>
      </w:r>
      <w:r w:rsidR="00D944F9">
        <w:rPr>
          <w:b/>
        </w:rPr>
        <w:fldChar w:fldCharType="begin"/>
      </w:r>
      <w:r w:rsidR="00D944F9">
        <w:rPr>
          <w:b/>
        </w:rPr>
        <w:instrText xml:space="preserve"> DOCVARIABLE VAULT_ND_f1be2b03-041d-476e-a1aa-93033f7910b6 \* MERGEFORMAT </w:instrText>
      </w:r>
      <w:r w:rsidR="00D944F9">
        <w:rPr>
          <w:b/>
        </w:rPr>
        <w:fldChar w:fldCharType="separate"/>
      </w:r>
      <w:r w:rsidR="00D944F9">
        <w:rPr>
          <w:b/>
        </w:rPr>
        <w:t xml:space="preserve"> </w:t>
      </w:r>
      <w:r w:rsidR="00D944F9">
        <w:rPr>
          <w:b/>
        </w:rPr>
        <w:fldChar w:fldCharType="end"/>
      </w:r>
    </w:p>
    <w:p w14:paraId="5935FAAD" w14:textId="77777777" w:rsidR="000D4A4C" w:rsidRPr="00B74A3B" w:rsidRDefault="000D4A4C" w:rsidP="000D4A4C">
      <w:pPr>
        <w:keepNext/>
        <w:spacing w:line="240" w:lineRule="auto"/>
      </w:pPr>
    </w:p>
    <w:p w14:paraId="06DE9ACA" w14:textId="4250B782" w:rsidR="000D4A4C" w:rsidRPr="00B74A3B" w:rsidRDefault="000D4A4C" w:rsidP="000D4A4C">
      <w:pPr>
        <w:keepNext/>
        <w:spacing w:line="240" w:lineRule="auto"/>
        <w:ind w:left="567" w:hanging="567"/>
        <w:outlineLvl w:val="0"/>
      </w:pPr>
      <w:r w:rsidRPr="00B74A3B">
        <w:rPr>
          <w:b/>
        </w:rPr>
        <w:t>5.1</w:t>
      </w:r>
      <w:r w:rsidRPr="00B74A3B">
        <w:rPr>
          <w:b/>
        </w:rPr>
        <w:tab/>
        <w:t>Propriétés pharmacodynamiques</w:t>
      </w:r>
      <w:r w:rsidR="00D944F9">
        <w:rPr>
          <w:b/>
        </w:rPr>
        <w:fldChar w:fldCharType="begin"/>
      </w:r>
      <w:r w:rsidR="00D944F9">
        <w:rPr>
          <w:b/>
        </w:rPr>
        <w:instrText xml:space="preserve"> DOCVARIABLE vault_nd_f37d782c-678f-4281-95e4-4afc4b047936 \* MERGEFORMAT </w:instrText>
      </w:r>
      <w:r w:rsidR="00D944F9">
        <w:rPr>
          <w:b/>
        </w:rPr>
        <w:fldChar w:fldCharType="separate"/>
      </w:r>
      <w:r w:rsidR="00D944F9">
        <w:rPr>
          <w:b/>
        </w:rPr>
        <w:t xml:space="preserve"> </w:t>
      </w:r>
      <w:r w:rsidR="00D944F9">
        <w:rPr>
          <w:b/>
        </w:rPr>
        <w:fldChar w:fldCharType="end"/>
      </w:r>
    </w:p>
    <w:p w14:paraId="5D764560" w14:textId="77777777" w:rsidR="00812D16" w:rsidRPr="00AD464F" w:rsidRDefault="00812D16" w:rsidP="009377E5">
      <w:pPr>
        <w:keepNext/>
        <w:spacing w:line="240" w:lineRule="auto"/>
      </w:pPr>
    </w:p>
    <w:p w14:paraId="1D504B65" w14:textId="5BAF82EF" w:rsidR="00812D16" w:rsidRPr="00AD464F" w:rsidRDefault="0039264B" w:rsidP="009377E5">
      <w:pPr>
        <w:keepNext/>
        <w:spacing w:line="240" w:lineRule="auto"/>
        <w:outlineLvl w:val="0"/>
        <w:rPr>
          <w:noProof/>
          <w:szCs w:val="22"/>
        </w:rPr>
      </w:pPr>
      <w:r>
        <w:t>Classe</w:t>
      </w:r>
      <w:r w:rsidRPr="00AD464F">
        <w:t xml:space="preserve"> </w:t>
      </w:r>
      <w:r w:rsidR="00617FEB" w:rsidRPr="00AD464F">
        <w:t xml:space="preserve">pharmacothérapeutique : Agents antinéoplasiques, inhibiteurs de protéine kinase, </w:t>
      </w:r>
      <w:r>
        <w:t>C</w:t>
      </w:r>
      <w:r w:rsidRPr="00AD464F">
        <w:t xml:space="preserve">ode </w:t>
      </w:r>
      <w:r w:rsidR="00617FEB" w:rsidRPr="00AD464F">
        <w:t xml:space="preserve">ATC : </w:t>
      </w:r>
      <w:r w:rsidR="00AC15CE">
        <w:t>L01EL05</w:t>
      </w:r>
      <w:r w:rsidR="003A47CA" w:rsidRPr="00AD464F">
        <w:rPr>
          <w:highlight w:val="lightGray"/>
        </w:rPr>
        <w:fldChar w:fldCharType="begin"/>
      </w:r>
      <w:r w:rsidR="003A47CA" w:rsidRPr="00AD464F">
        <w:rPr>
          <w:highlight w:val="lightGray"/>
        </w:rPr>
        <w:instrText xml:space="preserve"> DOCVARIABLE vault_nd_3ed9f090-d61d-4932-b0df-65aab44ac089 \* MERGEFORMAT </w:instrText>
      </w:r>
      <w:r w:rsidR="003A47CA" w:rsidRPr="00AD464F">
        <w:rPr>
          <w:highlight w:val="lightGray"/>
        </w:rPr>
        <w:fldChar w:fldCharType="separate"/>
      </w:r>
      <w:r w:rsidR="00AD464F" w:rsidRPr="00AD464F">
        <w:rPr>
          <w:highlight w:val="lightGray"/>
        </w:rPr>
        <w:t xml:space="preserve"> </w:t>
      </w:r>
      <w:r w:rsidR="003A47CA" w:rsidRPr="00AD464F">
        <w:rPr>
          <w:highlight w:val="lightGray"/>
        </w:rPr>
        <w:fldChar w:fldCharType="end"/>
      </w:r>
    </w:p>
    <w:p w14:paraId="610D01E3" w14:textId="77777777" w:rsidR="00812D16" w:rsidRPr="00AD464F" w:rsidRDefault="00812D16" w:rsidP="00204AAB">
      <w:pPr>
        <w:autoSpaceDE w:val="0"/>
        <w:autoSpaceDN w:val="0"/>
        <w:adjustRightInd w:val="0"/>
        <w:spacing w:line="240" w:lineRule="auto"/>
        <w:rPr>
          <w:b/>
          <w:szCs w:val="22"/>
        </w:rPr>
      </w:pPr>
    </w:p>
    <w:p w14:paraId="4B0E4DA9" w14:textId="61219B88" w:rsidR="00812D16" w:rsidRPr="00AD464F" w:rsidRDefault="00617FEB" w:rsidP="009377E5">
      <w:pPr>
        <w:keepNext/>
        <w:autoSpaceDE w:val="0"/>
        <w:autoSpaceDN w:val="0"/>
        <w:adjustRightInd w:val="0"/>
        <w:spacing w:line="240" w:lineRule="auto"/>
        <w:rPr>
          <w:szCs w:val="22"/>
          <w:u w:val="single"/>
        </w:rPr>
      </w:pPr>
      <w:r w:rsidRPr="00AD464F">
        <w:rPr>
          <w:u w:val="single"/>
        </w:rPr>
        <w:t>Mécanisme d’action</w:t>
      </w:r>
    </w:p>
    <w:p w14:paraId="6158A7B1" w14:textId="77777777" w:rsidR="002510A5" w:rsidRPr="00AD464F" w:rsidRDefault="002510A5" w:rsidP="009377E5">
      <w:pPr>
        <w:keepNext/>
        <w:autoSpaceDE w:val="0"/>
        <w:autoSpaceDN w:val="0"/>
        <w:adjustRightInd w:val="0"/>
        <w:spacing w:line="240" w:lineRule="auto"/>
        <w:rPr>
          <w:szCs w:val="22"/>
        </w:rPr>
      </w:pPr>
    </w:p>
    <w:p w14:paraId="02C1AF4B" w14:textId="4569B109" w:rsidR="00D90E8A" w:rsidRPr="00AD464F" w:rsidRDefault="002F0922" w:rsidP="0036481F">
      <w:pPr>
        <w:keepNext/>
        <w:autoSpaceDE w:val="0"/>
        <w:autoSpaceDN w:val="0"/>
        <w:adjustRightInd w:val="0"/>
        <w:spacing w:line="240" w:lineRule="auto"/>
        <w:rPr>
          <w:szCs w:val="22"/>
        </w:rPr>
      </w:pPr>
      <w:r w:rsidRPr="00AD464F">
        <w:t xml:space="preserve">Le pirtobrutinib est un inhibiteur non covalent réversible de la </w:t>
      </w:r>
      <w:r w:rsidR="004B2BF7">
        <w:t>tyrosine kinase de Bruton (</w:t>
      </w:r>
      <w:r w:rsidRPr="00AD464F">
        <w:t>BTK</w:t>
      </w:r>
      <w:r w:rsidR="004B2BF7">
        <w:t>)</w:t>
      </w:r>
      <w:r w:rsidRPr="00AD464F">
        <w:t>. La BTK est une protéine de signalisation des voies du récepteur antigénique des cellules</w:t>
      </w:r>
      <w:r w:rsidR="00D3466E">
        <w:t> </w:t>
      </w:r>
      <w:r w:rsidRPr="00AD464F">
        <w:t>B (BCR) et du récepteur des cytokines. Dans les cellules</w:t>
      </w:r>
      <w:r w:rsidR="00D3466E">
        <w:t> </w:t>
      </w:r>
      <w:r w:rsidRPr="00AD464F">
        <w:t>B, la signalisation induite par la BTK entraîne l'activation des voies nécessaires à la prolifération, à la circulation, au chimiotactisme et à l’adhésion des cellules</w:t>
      </w:r>
      <w:r w:rsidR="00E876F0">
        <w:t> </w:t>
      </w:r>
      <w:r w:rsidRPr="00AD464F">
        <w:t>B. Le pirtobrutinib se lie à la BTK de type sauvage ainsi qu</w:t>
      </w:r>
      <w:r w:rsidR="00D3466E">
        <w:t>’</w:t>
      </w:r>
      <w:r w:rsidRPr="00AD464F">
        <w:t>à la BTK porteuse de mutations C481, ce qui entraîne une inhibition de l</w:t>
      </w:r>
      <w:r w:rsidR="00D3466E">
        <w:t>’</w:t>
      </w:r>
      <w:r w:rsidRPr="00AD464F">
        <w:t xml:space="preserve">activité kinase de la BTK. </w:t>
      </w:r>
    </w:p>
    <w:p w14:paraId="6C71435D" w14:textId="77777777" w:rsidR="002E25A9" w:rsidRPr="00AD464F" w:rsidRDefault="002E25A9" w:rsidP="00204AAB">
      <w:pPr>
        <w:autoSpaceDE w:val="0"/>
        <w:autoSpaceDN w:val="0"/>
        <w:adjustRightInd w:val="0"/>
        <w:spacing w:line="240" w:lineRule="auto"/>
        <w:rPr>
          <w:szCs w:val="22"/>
        </w:rPr>
      </w:pPr>
    </w:p>
    <w:p w14:paraId="7EC63152" w14:textId="256905FE" w:rsidR="00812D16" w:rsidRPr="00AD464F" w:rsidRDefault="00617FEB" w:rsidP="009377E5">
      <w:pPr>
        <w:keepNext/>
        <w:autoSpaceDE w:val="0"/>
        <w:autoSpaceDN w:val="0"/>
        <w:adjustRightInd w:val="0"/>
        <w:spacing w:line="240" w:lineRule="auto"/>
        <w:rPr>
          <w:szCs w:val="22"/>
          <w:u w:val="single"/>
        </w:rPr>
      </w:pPr>
      <w:r w:rsidRPr="00AD464F">
        <w:rPr>
          <w:u w:val="single"/>
        </w:rPr>
        <w:t>Effets pharmacodynamiques</w:t>
      </w:r>
    </w:p>
    <w:p w14:paraId="2F48AD6D" w14:textId="26EE9BF1" w:rsidR="009E5612" w:rsidRPr="00AD464F" w:rsidRDefault="009E5612" w:rsidP="009377E5">
      <w:pPr>
        <w:keepNext/>
        <w:autoSpaceDE w:val="0"/>
        <w:autoSpaceDN w:val="0"/>
        <w:adjustRightInd w:val="0"/>
        <w:spacing w:line="240" w:lineRule="auto"/>
        <w:rPr>
          <w:szCs w:val="22"/>
        </w:rPr>
      </w:pPr>
    </w:p>
    <w:p w14:paraId="0093B123" w14:textId="21EA1C9C" w:rsidR="009E5612" w:rsidRPr="00AD464F" w:rsidRDefault="009E5612" w:rsidP="009377E5">
      <w:pPr>
        <w:keepNext/>
        <w:autoSpaceDE w:val="0"/>
        <w:autoSpaceDN w:val="0"/>
        <w:adjustRightInd w:val="0"/>
        <w:spacing w:line="240" w:lineRule="auto"/>
        <w:rPr>
          <w:i/>
          <w:szCs w:val="22"/>
        </w:rPr>
      </w:pPr>
      <w:r w:rsidRPr="00AD464F">
        <w:rPr>
          <w:i/>
        </w:rPr>
        <w:t>Électrophysiologie cardiaque</w:t>
      </w:r>
    </w:p>
    <w:p w14:paraId="2717E7C9" w14:textId="641FA667" w:rsidR="002510A5" w:rsidRPr="00AD464F" w:rsidRDefault="00F34D57" w:rsidP="009377E5">
      <w:pPr>
        <w:keepNext/>
        <w:autoSpaceDE w:val="0"/>
        <w:autoSpaceDN w:val="0"/>
        <w:adjustRightInd w:val="0"/>
        <w:spacing w:line="240" w:lineRule="auto"/>
        <w:rPr>
          <w:szCs w:val="22"/>
        </w:rPr>
      </w:pPr>
      <w:r w:rsidRPr="00AD464F">
        <w:t>L</w:t>
      </w:r>
      <w:r w:rsidR="00D3466E">
        <w:t>’</w:t>
      </w:r>
      <w:r w:rsidRPr="00AD464F">
        <w:t>effet d</w:t>
      </w:r>
      <w:r w:rsidR="00D3466E">
        <w:t>’</w:t>
      </w:r>
      <w:r w:rsidRPr="00AD464F">
        <w:t>une dose unique de 900 mg de pirtobrutinib sur l</w:t>
      </w:r>
      <w:r w:rsidR="00D3466E">
        <w:t>’</w:t>
      </w:r>
      <w:r w:rsidRPr="00AD464F">
        <w:t xml:space="preserve">intervalle QT corrigé (QTc) a été évalué dans une étude versus placebo et témoins positifs chez 30 sujets sains. </w:t>
      </w:r>
      <w:r w:rsidRPr="00AD464F">
        <w:rPr>
          <w:color w:val="000000"/>
        </w:rPr>
        <w:t>La dose choisie est équivalente à une concentration approximativement 2 fois supérieure aux concentrations atteintes à l'état d</w:t>
      </w:r>
      <w:r w:rsidR="00D3466E">
        <w:rPr>
          <w:color w:val="000000"/>
        </w:rPr>
        <w:t>’</w:t>
      </w:r>
      <w:r w:rsidRPr="00AD464F">
        <w:rPr>
          <w:color w:val="000000"/>
        </w:rPr>
        <w:t xml:space="preserve">équilibre à la posologie recommandée de 200 mg une fois par jour. </w:t>
      </w:r>
      <w:r w:rsidRPr="00AD464F">
        <w:t>Le pirtobrutinib n'a pas eu d’effet cliniquement significatif sur la modification de l'intervalle QT corrigé pour la fréquence cardiaque en utilisant l'intervalle de la formule de Fridericia (QTcF) (c'est-à-dire &gt; 10 ms) et il n’a été observé aucune relation entre l</w:t>
      </w:r>
      <w:r w:rsidR="00D3466E">
        <w:t>’</w:t>
      </w:r>
      <w:r w:rsidRPr="00AD464F">
        <w:t>exposition au pirtobrutinib et la modification de l</w:t>
      </w:r>
      <w:r w:rsidR="00D3466E">
        <w:t>’</w:t>
      </w:r>
      <w:r w:rsidRPr="00AD464F">
        <w:t xml:space="preserve">intervalle QTc. </w:t>
      </w:r>
    </w:p>
    <w:p w14:paraId="3DA807E5" w14:textId="1DDB4A85" w:rsidR="009E5612" w:rsidRPr="00AD464F" w:rsidRDefault="009E5612" w:rsidP="009E5612">
      <w:pPr>
        <w:autoSpaceDE w:val="0"/>
        <w:autoSpaceDN w:val="0"/>
        <w:adjustRightInd w:val="0"/>
        <w:spacing w:line="240" w:lineRule="auto"/>
        <w:rPr>
          <w:szCs w:val="22"/>
        </w:rPr>
      </w:pPr>
    </w:p>
    <w:p w14:paraId="145F0A55" w14:textId="4BF6ABD5" w:rsidR="00812D16" w:rsidRPr="00AD464F" w:rsidRDefault="00617FEB" w:rsidP="009377E5">
      <w:pPr>
        <w:keepNext/>
        <w:autoSpaceDE w:val="0"/>
        <w:autoSpaceDN w:val="0"/>
        <w:adjustRightInd w:val="0"/>
        <w:spacing w:line="240" w:lineRule="auto"/>
        <w:rPr>
          <w:szCs w:val="22"/>
        </w:rPr>
      </w:pPr>
      <w:r w:rsidRPr="00AD464F">
        <w:rPr>
          <w:u w:val="single"/>
        </w:rPr>
        <w:t xml:space="preserve">Efficacité et sécurité </w:t>
      </w:r>
      <w:r w:rsidR="003F025A">
        <w:rPr>
          <w:u w:val="single"/>
        </w:rPr>
        <w:t>cliniques</w:t>
      </w:r>
    </w:p>
    <w:p w14:paraId="6EA6CC1F" w14:textId="538C628D" w:rsidR="002510A5" w:rsidRPr="00AD464F" w:rsidRDefault="002510A5" w:rsidP="009377E5">
      <w:pPr>
        <w:keepNext/>
        <w:autoSpaceDE w:val="0"/>
        <w:autoSpaceDN w:val="0"/>
        <w:adjustRightInd w:val="0"/>
        <w:spacing w:line="240" w:lineRule="auto"/>
        <w:rPr>
          <w:szCs w:val="22"/>
        </w:rPr>
      </w:pPr>
    </w:p>
    <w:p w14:paraId="5659A0B2" w14:textId="77777777" w:rsidR="00833C68" w:rsidRPr="00642E07" w:rsidRDefault="00833C68" w:rsidP="009377E5">
      <w:pPr>
        <w:keepNext/>
        <w:autoSpaceDE w:val="0"/>
        <w:autoSpaceDN w:val="0"/>
        <w:adjustRightInd w:val="0"/>
        <w:spacing w:line="240" w:lineRule="auto"/>
        <w:rPr>
          <w:i/>
          <w:iCs/>
        </w:rPr>
      </w:pPr>
      <w:r w:rsidRPr="00642E07">
        <w:rPr>
          <w:i/>
          <w:iCs/>
        </w:rPr>
        <w:t>Lymphome à cellules du manteau</w:t>
      </w:r>
    </w:p>
    <w:p w14:paraId="4BAD9613" w14:textId="27F0A794" w:rsidR="004612F4" w:rsidRPr="00AD464F" w:rsidRDefault="004612F4" w:rsidP="009377E5">
      <w:pPr>
        <w:keepNext/>
        <w:autoSpaceDE w:val="0"/>
        <w:autoSpaceDN w:val="0"/>
        <w:adjustRightInd w:val="0"/>
        <w:spacing w:line="240" w:lineRule="auto"/>
        <w:rPr>
          <w:szCs w:val="22"/>
        </w:rPr>
      </w:pPr>
      <w:r w:rsidRPr="00AD464F">
        <w:t>L</w:t>
      </w:r>
      <w:r w:rsidR="00D3466E">
        <w:t>’</w:t>
      </w:r>
      <w:r w:rsidRPr="00AD464F">
        <w:t>efficacité de Jaypirca a été évaluée chez des patients adultes atteints de lymphome à cellules du manteau (LCM) dans un</w:t>
      </w:r>
      <w:r w:rsidR="0053262D">
        <w:t>e</w:t>
      </w:r>
      <w:r w:rsidRPr="00AD464F">
        <w:t xml:space="preserve"> </w:t>
      </w:r>
      <w:r w:rsidR="0053262D">
        <w:t>étude</w:t>
      </w:r>
      <w:r w:rsidRPr="00AD464F">
        <w:t xml:space="preserve"> clinique multicentrique de phase</w:t>
      </w:r>
      <w:r w:rsidR="007B0AD6">
        <w:t> </w:t>
      </w:r>
      <w:r w:rsidRPr="00AD464F">
        <w:t>1/2, en ouvert, à un seul bras : Étude</w:t>
      </w:r>
      <w:r w:rsidR="007B0AD6">
        <w:t> </w:t>
      </w:r>
      <w:r w:rsidRPr="00AD464F">
        <w:t>18001</w:t>
      </w:r>
      <w:r w:rsidR="007B0AD6">
        <w:t> </w:t>
      </w:r>
      <w:r w:rsidRPr="00AD464F">
        <w:t>(BRUIN). L</w:t>
      </w:r>
      <w:r w:rsidR="009B5711">
        <w:t>’</w:t>
      </w:r>
      <w:r w:rsidR="0053262D">
        <w:t>étude</w:t>
      </w:r>
      <w:r w:rsidRPr="00AD464F">
        <w:t xml:space="preserve"> comprenait deux parties : une phase</w:t>
      </w:r>
      <w:r w:rsidR="007B0AD6">
        <w:t> </w:t>
      </w:r>
      <w:r w:rsidRPr="00AD464F">
        <w:t>1 d’escalade de dose, au cours de laquelle l</w:t>
      </w:r>
      <w:r w:rsidR="003352A5">
        <w:t>a</w:t>
      </w:r>
      <w:r w:rsidRPr="00AD464F">
        <w:t xml:space="preserve"> dose de pirtobrutinib en monothérapie de 25 mg à 300 mg une fois par jour a été étudié</w:t>
      </w:r>
      <w:r w:rsidR="003352A5">
        <w:t>e</w:t>
      </w:r>
      <w:r w:rsidRPr="00AD464F">
        <w:t xml:space="preserve"> et une phase</w:t>
      </w:r>
      <w:r w:rsidR="007B0AD6">
        <w:t> </w:t>
      </w:r>
      <w:r w:rsidRPr="00AD464F">
        <w:t>2 d’expansion de dose. L</w:t>
      </w:r>
      <w:r w:rsidR="009B5711">
        <w:t>’</w:t>
      </w:r>
      <w:r w:rsidRPr="00AD464F">
        <w:t>objectif principal de la partie phase</w:t>
      </w:r>
      <w:r w:rsidR="007B0AD6">
        <w:t> </w:t>
      </w:r>
      <w:r w:rsidRPr="00AD464F">
        <w:t>1 était de déterminer la dose de pirtobrutinib recommandée pour la phase</w:t>
      </w:r>
      <w:r w:rsidR="007B0AD6">
        <w:t> </w:t>
      </w:r>
      <w:r w:rsidRPr="00AD464F">
        <w:t>2, qui s’est avérée être de 200 mg une fois par jour, la dose maximale tolérée n'ayant pas été établie. L</w:t>
      </w:r>
      <w:r w:rsidR="009B5711">
        <w:t>’</w:t>
      </w:r>
      <w:r w:rsidRPr="00AD464F">
        <w:t>objectif principal de la phase</w:t>
      </w:r>
      <w:r w:rsidR="007B0AD6">
        <w:t> </w:t>
      </w:r>
      <w:r w:rsidRPr="00AD464F">
        <w:t>2 était d'évaluer l</w:t>
      </w:r>
      <w:r w:rsidR="009B5711">
        <w:t>’</w:t>
      </w:r>
      <w:r w:rsidRPr="00AD464F">
        <w:t>activité anti</w:t>
      </w:r>
      <w:r w:rsidRPr="00AD464F">
        <w:noBreakHyphen/>
        <w:t>tumorale d</w:t>
      </w:r>
      <w:r w:rsidR="00340D33">
        <w:t>e</w:t>
      </w:r>
      <w:r w:rsidRPr="00AD464F">
        <w:t xml:space="preserve"> pirtobrutinib d’après le taux de réponse globale tel qu</w:t>
      </w:r>
      <w:r w:rsidR="009B5711">
        <w:t>’</w:t>
      </w:r>
      <w:r w:rsidRPr="00AD464F">
        <w:t>évalué par un Comité d</w:t>
      </w:r>
      <w:r w:rsidR="00473D52">
        <w:t>e revue</w:t>
      </w:r>
      <w:r w:rsidRPr="00AD464F">
        <w:t xml:space="preserve"> indépendant. Les patients ont reçu Jaypirca par voie orale quotidiennement jusqu</w:t>
      </w:r>
      <w:r w:rsidR="009B5711">
        <w:t>’</w:t>
      </w:r>
      <w:r w:rsidRPr="00AD464F">
        <w:t>à la progression de la maladie ou l’apparition d’une toxicité inacceptable.</w:t>
      </w:r>
    </w:p>
    <w:p w14:paraId="3FD36BE5" w14:textId="2DAC1F28" w:rsidR="004612F4" w:rsidRPr="00AD464F" w:rsidRDefault="004612F4" w:rsidP="00204AAB">
      <w:pPr>
        <w:autoSpaceDE w:val="0"/>
        <w:autoSpaceDN w:val="0"/>
        <w:adjustRightInd w:val="0"/>
        <w:spacing w:line="240" w:lineRule="auto"/>
        <w:rPr>
          <w:szCs w:val="22"/>
        </w:rPr>
      </w:pPr>
    </w:p>
    <w:p w14:paraId="1F7A1ACA" w14:textId="717DCE1B" w:rsidR="001D07F1" w:rsidRDefault="00E96D64" w:rsidP="00E96D64">
      <w:pPr>
        <w:autoSpaceDE w:val="0"/>
        <w:autoSpaceDN w:val="0"/>
        <w:adjustRightInd w:val="0"/>
        <w:spacing w:line="240" w:lineRule="auto"/>
      </w:pPr>
      <w:r w:rsidRPr="00AD464F">
        <w:t>L</w:t>
      </w:r>
      <w:r w:rsidR="009B5711">
        <w:t>’</w:t>
      </w:r>
      <w:r w:rsidRPr="00AD464F">
        <w:t>étude</w:t>
      </w:r>
      <w:r w:rsidR="00157AFF">
        <w:t> </w:t>
      </w:r>
      <w:r w:rsidRPr="00AD464F">
        <w:t xml:space="preserve">18001 a </w:t>
      </w:r>
      <w:r w:rsidR="00A43B6F">
        <w:t>inclus</w:t>
      </w:r>
      <w:r w:rsidR="00A43B6F" w:rsidRPr="00AD464F">
        <w:t xml:space="preserve"> </w:t>
      </w:r>
      <w:r w:rsidRPr="00AD464F">
        <w:t>et traité un total de 164 patients avec un diagnostic de LCM et l</w:t>
      </w:r>
      <w:r w:rsidR="009B5711">
        <w:t>’</w:t>
      </w:r>
      <w:r w:rsidRPr="00AD464F">
        <w:t>analyse primaire (PAS) pour l</w:t>
      </w:r>
      <w:r w:rsidR="009B5711">
        <w:t>’</w:t>
      </w:r>
      <w:r w:rsidRPr="00AD464F">
        <w:t>évaluation de l</w:t>
      </w:r>
      <w:r w:rsidR="009B5711">
        <w:t>’</w:t>
      </w:r>
      <w:r w:rsidRPr="00AD464F">
        <w:t>efficacité était basé</w:t>
      </w:r>
      <w:r w:rsidR="00CE5C98">
        <w:t>e</w:t>
      </w:r>
      <w:r w:rsidRPr="00AD464F">
        <w:t xml:space="preserve"> sur les 90 premiers patients atteints de LCM inclus dans l’étude, qui ne présentaient aucune atteinte connue du système nerveux central (SNC), avaient été précédemment traités par un inhibiteur de BTK, avaient reçu une ou plusieurs doses de Jaypirca et dont au moins 1 site de la maladie était évaluable par radiographie. L</w:t>
      </w:r>
      <w:r w:rsidR="009B5711">
        <w:t>’</w:t>
      </w:r>
      <w:r w:rsidRPr="00AD464F">
        <w:t>âge médian était de 70 ans (</w:t>
      </w:r>
      <w:r w:rsidR="005337AC">
        <w:t xml:space="preserve">intervalle : </w:t>
      </w:r>
      <w:r w:rsidRPr="00AD464F">
        <w:t xml:space="preserve">46 à 87 ans), 80 % étaient des hommes, 84,4 % étaient </w:t>
      </w:r>
      <w:r w:rsidR="00D9354B">
        <w:t>blancs</w:t>
      </w:r>
      <w:r w:rsidRPr="00AD464F">
        <w:t>, 67,8 % avaient un indice de performance ECOG (Eastern Cooperative Oncology Group) de 0 et 31,1 % avaient un indice de performance ECOG de 1. Les patients avaient un nombre médian de 3</w:t>
      </w:r>
      <w:r w:rsidR="009B5711">
        <w:t> </w:t>
      </w:r>
      <w:r w:rsidRPr="00AD464F">
        <w:t>lignes de traitement antérieures (</w:t>
      </w:r>
      <w:r w:rsidR="005337AC">
        <w:t>intervalle</w:t>
      </w:r>
      <w:r w:rsidRPr="00AD464F">
        <w:t> : 1 à 8), et le motif d’arrêt du dernier traitement par inhibiteur de BTK était une progression chez 81,1 % des patients et une intolérance chez 13,3 % des patients. 95,6 % des patients avaient précédemment reçu un traitement anti</w:t>
      </w:r>
      <w:r w:rsidRPr="00AD464F">
        <w:noBreakHyphen/>
        <w:t>CD20, 87,8 % une chimiothérapie, 18,9 % une autogreffe de cellules souches, 4,4 % une allogreffe de cellules souches, 15,6 % un inhibiteur de BCL2 et 4,4 % un traitement par lymphocytes T à récepteur antigénique chimérique (CAR</w:t>
      </w:r>
      <w:r w:rsidRPr="00AD464F">
        <w:noBreakHyphen/>
        <w:t>T). 38,9 % des patients présentaient une atteinte extra</w:t>
      </w:r>
      <w:r w:rsidR="00463811">
        <w:t>-</w:t>
      </w:r>
      <w:r w:rsidRPr="00AD464F">
        <w:t xml:space="preserve">ganglionnaire et 26,7 % avaient une masse tumorale supérieure ou égale à 5 cm. Le score de risque selon le sMIPI (simplified MCL International Prognostic Index) était faible chez 22,2 %, intermédiaire chez 55,6 % et élevé chez 22,2 % des patients. </w:t>
      </w:r>
    </w:p>
    <w:p w14:paraId="0C580C83" w14:textId="46F8E81B" w:rsidR="00C174B5" w:rsidRDefault="00C174B5" w:rsidP="00E96D64">
      <w:pPr>
        <w:autoSpaceDE w:val="0"/>
        <w:autoSpaceDN w:val="0"/>
        <w:adjustRightInd w:val="0"/>
        <w:spacing w:line="240" w:lineRule="auto"/>
      </w:pPr>
    </w:p>
    <w:p w14:paraId="6B8BA6C3" w14:textId="42587DCA" w:rsidR="00C174B5" w:rsidRPr="00AD464F" w:rsidRDefault="00C174B5" w:rsidP="00E96D64">
      <w:pPr>
        <w:autoSpaceDE w:val="0"/>
        <w:autoSpaceDN w:val="0"/>
        <w:adjustRightInd w:val="0"/>
        <w:spacing w:line="240" w:lineRule="auto"/>
      </w:pPr>
      <w:r>
        <w:t>Sur les 164 patients atteints de LCM</w:t>
      </w:r>
      <w:r w:rsidR="0021224B">
        <w:t xml:space="preserve"> </w:t>
      </w:r>
      <w:r w:rsidR="005C4825">
        <w:t xml:space="preserve">inclus </w:t>
      </w:r>
      <w:r w:rsidR="0021224B">
        <w:t>dans l’Etude</w:t>
      </w:r>
      <w:r w:rsidR="005C4825">
        <w:t> </w:t>
      </w:r>
      <w:r w:rsidR="0021224B">
        <w:t>18001, 9</w:t>
      </w:r>
      <w:r w:rsidR="005C4825">
        <w:t> </w:t>
      </w:r>
      <w:r w:rsidR="0021224B">
        <w:t xml:space="preserve">patients </w:t>
      </w:r>
      <w:r w:rsidR="00D45765">
        <w:t xml:space="preserve">ont eu une réduction de dose, </w:t>
      </w:r>
      <w:r w:rsidR="008C32AD">
        <w:t>dont</w:t>
      </w:r>
      <w:r w:rsidR="00D45765">
        <w:t xml:space="preserve"> 6 </w:t>
      </w:r>
      <w:r w:rsidR="008C32AD">
        <w:t xml:space="preserve">patients </w:t>
      </w:r>
      <w:r w:rsidR="00D45765">
        <w:t>répondeurs qui</w:t>
      </w:r>
      <w:r w:rsidR="008C32AD">
        <w:t xml:space="preserve"> ont pu poursuivre le traitement et maintenir une réponse durable après des réductions de dose à 150</w:t>
      </w:r>
      <w:r w:rsidR="005C4825">
        <w:t> </w:t>
      </w:r>
      <w:r w:rsidR="008C32AD">
        <w:t>mg par jour (3), 100</w:t>
      </w:r>
      <w:r w:rsidR="005C4825">
        <w:t> </w:t>
      </w:r>
      <w:r w:rsidR="008C32AD">
        <w:t>mg par jour (2) et 50</w:t>
      </w:r>
      <w:r w:rsidR="005C4825">
        <w:t> </w:t>
      </w:r>
      <w:r w:rsidR="008C32AD">
        <w:t>mg par jour (1).</w:t>
      </w:r>
      <w:r w:rsidR="00D45765">
        <w:t xml:space="preserve"> </w:t>
      </w:r>
    </w:p>
    <w:p w14:paraId="0038A625" w14:textId="77777777" w:rsidR="00E96D64" w:rsidRPr="00AD464F" w:rsidRDefault="00E96D64" w:rsidP="00E96D64">
      <w:pPr>
        <w:autoSpaceDE w:val="0"/>
        <w:autoSpaceDN w:val="0"/>
        <w:adjustRightInd w:val="0"/>
        <w:spacing w:line="240" w:lineRule="auto"/>
        <w:rPr>
          <w:szCs w:val="22"/>
        </w:rPr>
      </w:pPr>
    </w:p>
    <w:p w14:paraId="635D833F" w14:textId="7C1F6816" w:rsidR="00114488" w:rsidRDefault="00E96D64" w:rsidP="00E96D64">
      <w:pPr>
        <w:autoSpaceDE w:val="0"/>
        <w:autoSpaceDN w:val="0"/>
        <w:adjustRightInd w:val="0"/>
        <w:spacing w:line="240" w:lineRule="auto"/>
      </w:pPr>
      <w:r w:rsidRPr="00AD464F">
        <w:t>L</w:t>
      </w:r>
      <w:r w:rsidR="009B5711">
        <w:t>’</w:t>
      </w:r>
      <w:r w:rsidRPr="00AD464F">
        <w:t xml:space="preserve">efficacité de Jaypirca était </w:t>
      </w:r>
      <w:r w:rsidR="007A5FBF">
        <w:t>bas</w:t>
      </w:r>
      <w:r w:rsidRPr="00AD464F">
        <w:t>ée sur l’évaluation de la réponse à l</w:t>
      </w:r>
      <w:r w:rsidR="009B5711">
        <w:t>’</w:t>
      </w:r>
      <w:r w:rsidRPr="00AD464F">
        <w:t>aide des critères de Lugano</w:t>
      </w:r>
      <w:r w:rsidR="006657E6">
        <w:t> </w:t>
      </w:r>
      <w:r w:rsidRPr="00AD464F">
        <w:t>2014 pour le lymphome malin. Les résultats d’efficacité pour les patients ayant précédemment reçu au moins un inhibiteur de BTK et inclus dans l</w:t>
      </w:r>
      <w:r w:rsidR="00CC7857">
        <w:t>’analyse primaire</w:t>
      </w:r>
      <w:r w:rsidRPr="00AD464F">
        <w:t xml:space="preserve"> sont résumés dans le Tableau </w:t>
      </w:r>
      <w:r w:rsidR="007F0B57">
        <w:t>2</w:t>
      </w:r>
      <w:r w:rsidRPr="00AD464F">
        <w:t>. Pour les 90 patients de l’</w:t>
      </w:r>
      <w:r w:rsidR="00CC7857">
        <w:t>analyse primaire</w:t>
      </w:r>
      <w:r w:rsidRPr="00AD464F">
        <w:t xml:space="preserve">, </w:t>
      </w:r>
      <w:r w:rsidR="007F0B57">
        <w:t>79 ont reçu au moins 1</w:t>
      </w:r>
      <w:r w:rsidR="006657E6">
        <w:t> </w:t>
      </w:r>
      <w:r w:rsidR="007F0B57">
        <w:t>dose de 200</w:t>
      </w:r>
      <w:r w:rsidR="006657E6">
        <w:t> </w:t>
      </w:r>
      <w:r w:rsidR="007F0B57">
        <w:t xml:space="preserve">mg </w:t>
      </w:r>
      <w:r w:rsidR="006657E6">
        <w:t xml:space="preserve">une fois </w:t>
      </w:r>
      <w:r w:rsidR="007F0B57">
        <w:t>par jour</w:t>
      </w:r>
      <w:r w:rsidR="00DE7383">
        <w:t>. Sur ces 79</w:t>
      </w:r>
      <w:r w:rsidR="006657E6">
        <w:t> </w:t>
      </w:r>
      <w:r w:rsidR="00DE7383">
        <w:t>patients, 77 ont commencé à 200</w:t>
      </w:r>
      <w:r w:rsidR="000C05E2">
        <w:t> </w:t>
      </w:r>
      <w:r w:rsidR="00DE7383">
        <w:t xml:space="preserve">mg par jour, </w:t>
      </w:r>
      <w:r w:rsidR="007767E8">
        <w:t>1</w:t>
      </w:r>
      <w:r w:rsidR="006657E6">
        <w:t> </w:t>
      </w:r>
      <w:r w:rsidR="007767E8">
        <w:t xml:space="preserve">dose a été </w:t>
      </w:r>
      <w:r w:rsidR="00DF010F">
        <w:t xml:space="preserve">augmentée à partir d’une dose plus faible et 1 dose </w:t>
      </w:r>
      <w:r w:rsidR="008A4DB0">
        <w:t>a été réduite à partir d’une dose plus élevée. L</w:t>
      </w:r>
      <w:r w:rsidRPr="00AD464F">
        <w:t>a durée médiane de traitement était de 5,24 mois (</w:t>
      </w:r>
      <w:r w:rsidR="00546D7C">
        <w:t>intervalle</w:t>
      </w:r>
      <w:r w:rsidRPr="00AD464F">
        <w:t xml:space="preserve"> : 0,2 à </w:t>
      </w:r>
      <w:r w:rsidR="00911CEC" w:rsidRPr="00AD464F">
        <w:t>3</w:t>
      </w:r>
      <w:r w:rsidR="00911CEC">
        <w:t>9</w:t>
      </w:r>
      <w:r w:rsidRPr="00AD464F">
        <w:t>,</w:t>
      </w:r>
      <w:r w:rsidR="00911CEC">
        <w:t>6</w:t>
      </w:r>
      <w:r w:rsidR="000C05E2">
        <w:t> </w:t>
      </w:r>
      <w:r w:rsidRPr="00AD464F">
        <w:t>mois). Parmi les 5</w:t>
      </w:r>
      <w:r w:rsidR="008A4DB0">
        <w:t>1</w:t>
      </w:r>
      <w:r w:rsidR="006657E6">
        <w:t> </w:t>
      </w:r>
      <w:r w:rsidRPr="00AD464F">
        <w:t>répondeurs, le délai médian de réponse était de 1,84</w:t>
      </w:r>
      <w:r w:rsidR="006657E6">
        <w:t> </w:t>
      </w:r>
      <w:r w:rsidRPr="00AD464F">
        <w:t>mois (</w:t>
      </w:r>
      <w:r w:rsidR="00546D7C">
        <w:t>intervalle </w:t>
      </w:r>
      <w:r w:rsidRPr="00AD464F">
        <w:t>: 1,0 à 7,5</w:t>
      </w:r>
      <w:r w:rsidR="000C05E2">
        <w:t> </w:t>
      </w:r>
      <w:r w:rsidRPr="00AD464F">
        <w:t>mois).</w:t>
      </w:r>
    </w:p>
    <w:p w14:paraId="587A0565" w14:textId="77777777" w:rsidR="00114488" w:rsidRDefault="00114488" w:rsidP="00E96D64">
      <w:pPr>
        <w:autoSpaceDE w:val="0"/>
        <w:autoSpaceDN w:val="0"/>
        <w:adjustRightInd w:val="0"/>
        <w:spacing w:line="240" w:lineRule="auto"/>
      </w:pPr>
    </w:p>
    <w:p w14:paraId="12DC5E54" w14:textId="773EE70F" w:rsidR="002510A5" w:rsidRPr="00AD464F" w:rsidRDefault="00E96D64" w:rsidP="00E96D64">
      <w:pPr>
        <w:autoSpaceDE w:val="0"/>
        <w:autoSpaceDN w:val="0"/>
        <w:adjustRightInd w:val="0"/>
        <w:spacing w:line="240" w:lineRule="auto"/>
        <w:rPr>
          <w:szCs w:val="22"/>
        </w:rPr>
      </w:pPr>
      <w:r w:rsidRPr="00AD464F">
        <w:rPr>
          <w:color w:val="000000"/>
        </w:rPr>
        <w:t>Bien que les analyses en sous-groupes ne représentent qu’un nombre limité de patients, des résultats d</w:t>
      </w:r>
      <w:r w:rsidR="00AC46F4">
        <w:rPr>
          <w:color w:val="000000"/>
        </w:rPr>
        <w:t>’</w:t>
      </w:r>
      <w:r w:rsidRPr="00AD464F">
        <w:rPr>
          <w:color w:val="000000"/>
        </w:rPr>
        <w:t xml:space="preserve">efficacité cliniquement </w:t>
      </w:r>
      <w:r w:rsidR="00231B7D">
        <w:rPr>
          <w:color w:val="000000"/>
        </w:rPr>
        <w:t>pertinents</w:t>
      </w:r>
      <w:r w:rsidR="00231B7D" w:rsidRPr="00AD464F">
        <w:rPr>
          <w:color w:val="000000"/>
        </w:rPr>
        <w:t xml:space="preserve"> </w:t>
      </w:r>
      <w:r w:rsidRPr="00AD464F">
        <w:rPr>
          <w:color w:val="000000"/>
        </w:rPr>
        <w:t>ont été observés dans d</w:t>
      </w:r>
      <w:r w:rsidR="00AC46F4">
        <w:rPr>
          <w:color w:val="000000"/>
        </w:rPr>
        <w:t>’</w:t>
      </w:r>
      <w:r w:rsidRPr="00AD464F">
        <w:rPr>
          <w:color w:val="000000"/>
        </w:rPr>
        <w:t>importants sous-groupes, y compris chez des patients ayant interrompu un traitement antérieur par inhibiteur de BTK en raison d</w:t>
      </w:r>
      <w:r w:rsidR="00AC46F4">
        <w:rPr>
          <w:color w:val="000000"/>
        </w:rPr>
        <w:t>’</w:t>
      </w:r>
      <w:r w:rsidRPr="00AD464F">
        <w:rPr>
          <w:color w:val="000000"/>
        </w:rPr>
        <w:t>une intolérance ou d</w:t>
      </w:r>
      <w:r w:rsidR="00AC46F4">
        <w:rPr>
          <w:color w:val="000000"/>
        </w:rPr>
        <w:t>’</w:t>
      </w:r>
      <w:r w:rsidRPr="00AD464F">
        <w:rPr>
          <w:color w:val="000000"/>
        </w:rPr>
        <w:t>une progression et indépendamment du nombre et du type de traitements antérieurs.</w:t>
      </w:r>
    </w:p>
    <w:p w14:paraId="7FD5A38F" w14:textId="41F0A980" w:rsidR="009E5612" w:rsidRPr="00AD464F" w:rsidRDefault="009E5612" w:rsidP="00204AAB">
      <w:pPr>
        <w:autoSpaceDE w:val="0"/>
        <w:autoSpaceDN w:val="0"/>
        <w:adjustRightInd w:val="0"/>
        <w:spacing w:line="240" w:lineRule="auto"/>
        <w:rPr>
          <w:szCs w:val="22"/>
        </w:rPr>
      </w:pPr>
    </w:p>
    <w:p w14:paraId="1154C0C0" w14:textId="6C27400A" w:rsidR="00731938" w:rsidRPr="00AD464F" w:rsidRDefault="00731938" w:rsidP="001E36A9">
      <w:pPr>
        <w:pStyle w:val="PLRHeading2"/>
        <w:keepNext/>
        <w:rPr>
          <w:rFonts w:ascii="Times New Roman" w:hAnsi="Times New Roman"/>
          <w:bCs/>
          <w:sz w:val="22"/>
          <w:szCs w:val="22"/>
        </w:rPr>
      </w:pPr>
      <w:r w:rsidRPr="00AD464F">
        <w:rPr>
          <w:rFonts w:ascii="Times New Roman" w:hAnsi="Times New Roman"/>
          <w:sz w:val="22"/>
        </w:rPr>
        <w:t>Tableau </w:t>
      </w:r>
      <w:r w:rsidR="007F0B57">
        <w:rPr>
          <w:rFonts w:ascii="Times New Roman" w:hAnsi="Times New Roman"/>
          <w:sz w:val="22"/>
        </w:rPr>
        <w:t>2</w:t>
      </w:r>
      <w:r w:rsidRPr="00AD464F">
        <w:rPr>
          <w:rFonts w:ascii="Times New Roman" w:hAnsi="Times New Roman"/>
          <w:sz w:val="22"/>
        </w:rPr>
        <w:t> : Résumé des données d'efficacité de l</w:t>
      </w:r>
      <w:r w:rsidR="00AC46F4">
        <w:rPr>
          <w:rFonts w:ascii="Times New Roman" w:hAnsi="Times New Roman"/>
          <w:sz w:val="22"/>
        </w:rPr>
        <w:t>’</w:t>
      </w:r>
      <w:r w:rsidRPr="00AD464F">
        <w:rPr>
          <w:rFonts w:ascii="Times New Roman" w:hAnsi="Times New Roman"/>
          <w:sz w:val="22"/>
        </w:rPr>
        <w:t>étude</w:t>
      </w:r>
      <w:r w:rsidR="00AC46F4">
        <w:rPr>
          <w:rFonts w:ascii="Times New Roman" w:hAnsi="Times New Roman"/>
          <w:sz w:val="22"/>
        </w:rPr>
        <w:t> </w:t>
      </w:r>
      <w:r w:rsidRPr="00AD464F">
        <w:rPr>
          <w:rFonts w:ascii="Times New Roman" w:hAnsi="Times New Roman"/>
          <w:sz w:val="22"/>
        </w:rPr>
        <w:t>18001 pour les patients atteints de LCM ayant précédemment reçu au moins un inhibiteur de BTK</w:t>
      </w:r>
    </w:p>
    <w:p w14:paraId="7B7345E3" w14:textId="77777777" w:rsidR="00731938" w:rsidRPr="00AD464F" w:rsidRDefault="00731938" w:rsidP="005330E7">
      <w:pPr>
        <w:pStyle w:val="PLRBodyTextIndented"/>
        <w:keepNext/>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82"/>
        <w:gridCol w:w="3813"/>
      </w:tblGrid>
      <w:tr w:rsidR="00731938" w:rsidRPr="00AD464F" w14:paraId="6F954429" w14:textId="77777777" w:rsidTr="00E54A74">
        <w:trPr>
          <w:jc w:val="center"/>
        </w:trPr>
        <w:tc>
          <w:tcPr>
            <w:tcW w:w="5382" w:type="dxa"/>
            <w:tcBorders>
              <w:top w:val="single" w:sz="4" w:space="0" w:color="auto"/>
              <w:left w:val="single" w:sz="4" w:space="0" w:color="auto"/>
              <w:bottom w:val="single" w:sz="4" w:space="0" w:color="auto"/>
              <w:right w:val="single" w:sz="4" w:space="0" w:color="auto"/>
            </w:tcBorders>
          </w:tcPr>
          <w:p w14:paraId="104D01E4" w14:textId="77777777" w:rsidR="00731938" w:rsidRPr="00AD464F" w:rsidRDefault="00731938">
            <w:pPr>
              <w:pStyle w:val="PLRTextUnindented"/>
              <w:keepNext/>
              <w:tabs>
                <w:tab w:val="left" w:pos="648"/>
              </w:tabs>
              <w:spacing w:before="60"/>
              <w:jc w:val="center"/>
              <w:rPr>
                <w:rFonts w:ascii="Times New Roman" w:hAnsi="Times New Roman"/>
                <w:bCs/>
                <w:sz w:val="22"/>
                <w:szCs w:val="22"/>
              </w:rPr>
            </w:pPr>
          </w:p>
        </w:tc>
        <w:tc>
          <w:tcPr>
            <w:tcW w:w="3813" w:type="dxa"/>
            <w:tcBorders>
              <w:top w:val="single" w:sz="4" w:space="0" w:color="auto"/>
              <w:left w:val="single" w:sz="4" w:space="0" w:color="auto"/>
              <w:bottom w:val="single" w:sz="4" w:space="0" w:color="auto"/>
              <w:right w:val="single" w:sz="4" w:space="0" w:color="auto"/>
            </w:tcBorders>
            <w:shd w:val="clear" w:color="auto" w:fill="auto"/>
            <w:hideMark/>
          </w:tcPr>
          <w:p w14:paraId="261DFC32" w14:textId="50095600" w:rsidR="00731938" w:rsidRPr="00AD464F" w:rsidRDefault="00731938">
            <w:pPr>
              <w:pStyle w:val="PLRTextUnindented"/>
              <w:keepNext/>
              <w:jc w:val="center"/>
              <w:rPr>
                <w:rFonts w:ascii="Times New Roman" w:hAnsi="Times New Roman"/>
                <w:b/>
                <w:sz w:val="22"/>
                <w:szCs w:val="22"/>
                <w:vertAlign w:val="superscript"/>
              </w:rPr>
            </w:pPr>
            <w:r w:rsidRPr="00AD464F">
              <w:rPr>
                <w:rFonts w:ascii="Times New Roman" w:hAnsi="Times New Roman"/>
                <w:b/>
                <w:sz w:val="22"/>
              </w:rPr>
              <w:t>Pirtobrutinib</w:t>
            </w:r>
          </w:p>
          <w:p w14:paraId="334EC2D5" w14:textId="5F04FF8B" w:rsidR="00731938" w:rsidRPr="00AD464F" w:rsidRDefault="00731938">
            <w:pPr>
              <w:pStyle w:val="PLRTextUnindented"/>
              <w:keepNext/>
              <w:jc w:val="center"/>
              <w:rPr>
                <w:rFonts w:ascii="Times New Roman" w:hAnsi="Times New Roman"/>
                <w:b/>
                <w:sz w:val="22"/>
                <w:szCs w:val="22"/>
                <w:vertAlign w:val="superscript"/>
              </w:rPr>
            </w:pPr>
            <w:r w:rsidRPr="00AD464F">
              <w:rPr>
                <w:rFonts w:ascii="Times New Roman" w:hAnsi="Times New Roman"/>
                <w:b/>
                <w:sz w:val="22"/>
              </w:rPr>
              <w:t>N=90</w:t>
            </w:r>
          </w:p>
        </w:tc>
      </w:tr>
      <w:tr w:rsidR="00731938" w:rsidRPr="00AD464F" w14:paraId="05CAC7C1" w14:textId="77777777" w:rsidTr="00E54A74">
        <w:trPr>
          <w:trHeight w:val="198"/>
          <w:jc w:val="center"/>
        </w:trPr>
        <w:tc>
          <w:tcPr>
            <w:tcW w:w="91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A8978C" w14:textId="466AC456" w:rsidR="00731938" w:rsidRPr="00AD464F" w:rsidRDefault="00731938" w:rsidP="001E36A9">
            <w:pPr>
              <w:pStyle w:val="PLRTextUnindented"/>
              <w:keepNext/>
              <w:rPr>
                <w:rFonts w:ascii="Times New Roman" w:hAnsi="Times New Roman"/>
                <w:b/>
                <w:sz w:val="22"/>
                <w:szCs w:val="22"/>
              </w:rPr>
            </w:pPr>
            <w:r w:rsidRPr="00AD464F">
              <w:rPr>
                <w:rFonts w:ascii="Times New Roman" w:hAnsi="Times New Roman"/>
                <w:b/>
                <w:sz w:val="22"/>
              </w:rPr>
              <w:t>Taux de réponse objective (Réponse complète + Réponse partielle)</w:t>
            </w:r>
          </w:p>
        </w:tc>
      </w:tr>
      <w:tr w:rsidR="00731938" w:rsidRPr="00AD464F" w14:paraId="4F0CD248" w14:textId="77777777" w:rsidTr="00E54A74">
        <w:trPr>
          <w:trHeight w:val="198"/>
          <w:jc w:val="center"/>
        </w:trPr>
        <w:tc>
          <w:tcPr>
            <w:tcW w:w="5382" w:type="dxa"/>
            <w:tcBorders>
              <w:top w:val="single" w:sz="4" w:space="0" w:color="auto"/>
              <w:left w:val="single" w:sz="4" w:space="0" w:color="auto"/>
              <w:bottom w:val="single" w:sz="4" w:space="0" w:color="auto"/>
              <w:right w:val="single" w:sz="4" w:space="0" w:color="auto"/>
            </w:tcBorders>
            <w:hideMark/>
          </w:tcPr>
          <w:p w14:paraId="4F5DEE2F" w14:textId="0720039B" w:rsidR="00731938" w:rsidRPr="00AD464F" w:rsidRDefault="00731938" w:rsidP="001E36A9">
            <w:pPr>
              <w:pStyle w:val="PLRTextUnindented"/>
              <w:keepNext/>
              <w:tabs>
                <w:tab w:val="left" w:pos="342"/>
              </w:tabs>
              <w:ind w:left="335"/>
              <w:rPr>
                <w:rFonts w:ascii="Times New Roman" w:hAnsi="Times New Roman"/>
                <w:sz w:val="22"/>
                <w:szCs w:val="22"/>
              </w:rPr>
            </w:pPr>
            <w:r w:rsidRPr="00AD464F">
              <w:rPr>
                <w:rFonts w:ascii="Times New Roman" w:hAnsi="Times New Roman"/>
                <w:sz w:val="22"/>
              </w:rPr>
              <w:t>Taux – pourcentage (IC à 95 %)</w:t>
            </w:r>
          </w:p>
        </w:tc>
        <w:tc>
          <w:tcPr>
            <w:tcW w:w="3813" w:type="dxa"/>
            <w:tcBorders>
              <w:top w:val="single" w:sz="4" w:space="0" w:color="auto"/>
              <w:left w:val="single" w:sz="4" w:space="0" w:color="auto"/>
              <w:bottom w:val="single" w:sz="4" w:space="0" w:color="auto"/>
              <w:right w:val="single" w:sz="4" w:space="0" w:color="auto"/>
            </w:tcBorders>
            <w:shd w:val="clear" w:color="auto" w:fill="auto"/>
          </w:tcPr>
          <w:p w14:paraId="23A01330" w14:textId="7963B5BD" w:rsidR="00731938" w:rsidRPr="00AD464F" w:rsidRDefault="008A4DB0" w:rsidP="005330E7">
            <w:pPr>
              <w:pStyle w:val="PLRTextUnindented"/>
              <w:keepNext/>
              <w:jc w:val="center"/>
              <w:rPr>
                <w:rFonts w:ascii="Times New Roman" w:hAnsi="Times New Roman"/>
                <w:sz w:val="22"/>
                <w:szCs w:val="22"/>
                <w:highlight w:val="yellow"/>
              </w:rPr>
            </w:pPr>
            <w:r>
              <w:rPr>
                <w:rFonts w:ascii="Times New Roman" w:hAnsi="Times New Roman"/>
                <w:sz w:val="22"/>
              </w:rPr>
              <w:t>56,7 (</w:t>
            </w:r>
            <w:r w:rsidR="0087091E">
              <w:rPr>
                <w:rFonts w:ascii="Times New Roman" w:hAnsi="Times New Roman"/>
                <w:sz w:val="22"/>
              </w:rPr>
              <w:t>45,8, 67,1)</w:t>
            </w:r>
          </w:p>
        </w:tc>
      </w:tr>
      <w:tr w:rsidR="00731938" w:rsidRPr="00AD464F" w14:paraId="65797119" w14:textId="77777777" w:rsidTr="00E54A74">
        <w:trPr>
          <w:trHeight w:val="198"/>
          <w:jc w:val="center"/>
        </w:trPr>
        <w:tc>
          <w:tcPr>
            <w:tcW w:w="5382" w:type="dxa"/>
            <w:tcBorders>
              <w:top w:val="single" w:sz="4" w:space="0" w:color="auto"/>
              <w:left w:val="single" w:sz="4" w:space="0" w:color="auto"/>
              <w:bottom w:val="single" w:sz="4" w:space="0" w:color="auto"/>
              <w:right w:val="single" w:sz="4" w:space="0" w:color="auto"/>
            </w:tcBorders>
            <w:hideMark/>
          </w:tcPr>
          <w:p w14:paraId="39EBF6B0" w14:textId="6FB91A25" w:rsidR="00731938" w:rsidRPr="00AD464F" w:rsidRDefault="00731938" w:rsidP="001E36A9">
            <w:pPr>
              <w:pStyle w:val="PLRTextUnindented"/>
              <w:keepNext/>
              <w:tabs>
                <w:tab w:val="left" w:pos="342"/>
              </w:tabs>
              <w:ind w:left="335"/>
              <w:rPr>
                <w:rFonts w:ascii="Times New Roman" w:hAnsi="Times New Roman"/>
                <w:sz w:val="22"/>
                <w:szCs w:val="22"/>
              </w:rPr>
            </w:pPr>
            <w:r w:rsidRPr="00AD464F">
              <w:rPr>
                <w:rFonts w:ascii="Times New Roman" w:hAnsi="Times New Roman"/>
                <w:sz w:val="22"/>
              </w:rPr>
              <w:t>RC – pourcentage</w:t>
            </w:r>
          </w:p>
        </w:tc>
        <w:tc>
          <w:tcPr>
            <w:tcW w:w="3813" w:type="dxa"/>
            <w:tcBorders>
              <w:top w:val="single" w:sz="4" w:space="0" w:color="auto"/>
              <w:left w:val="single" w:sz="4" w:space="0" w:color="auto"/>
              <w:bottom w:val="single" w:sz="4" w:space="0" w:color="auto"/>
              <w:right w:val="single" w:sz="4" w:space="0" w:color="auto"/>
            </w:tcBorders>
            <w:shd w:val="clear" w:color="auto" w:fill="auto"/>
          </w:tcPr>
          <w:p w14:paraId="02F0A869" w14:textId="64ACCB50" w:rsidR="00731938" w:rsidRPr="00AD464F" w:rsidRDefault="0087091E" w:rsidP="005330E7">
            <w:pPr>
              <w:pStyle w:val="PLRTextUnindented"/>
              <w:keepNext/>
              <w:jc w:val="center"/>
              <w:rPr>
                <w:rFonts w:ascii="Times New Roman" w:hAnsi="Times New Roman"/>
                <w:sz w:val="22"/>
                <w:szCs w:val="22"/>
              </w:rPr>
            </w:pPr>
            <w:r>
              <w:rPr>
                <w:rFonts w:ascii="Times New Roman" w:hAnsi="Times New Roman"/>
                <w:sz w:val="22"/>
              </w:rPr>
              <w:t>18,9</w:t>
            </w:r>
          </w:p>
        </w:tc>
      </w:tr>
      <w:tr w:rsidR="00731938" w:rsidRPr="00AD464F" w14:paraId="00CA9BB6" w14:textId="77777777" w:rsidTr="00E54A74">
        <w:trPr>
          <w:trHeight w:val="198"/>
          <w:jc w:val="center"/>
        </w:trPr>
        <w:tc>
          <w:tcPr>
            <w:tcW w:w="5382" w:type="dxa"/>
            <w:tcBorders>
              <w:top w:val="single" w:sz="4" w:space="0" w:color="auto"/>
              <w:left w:val="single" w:sz="4" w:space="0" w:color="auto"/>
              <w:bottom w:val="single" w:sz="4" w:space="0" w:color="auto"/>
              <w:right w:val="single" w:sz="4" w:space="0" w:color="auto"/>
            </w:tcBorders>
            <w:hideMark/>
          </w:tcPr>
          <w:p w14:paraId="7EF4CBAF" w14:textId="03806541" w:rsidR="00731938" w:rsidRPr="00AD464F" w:rsidRDefault="00731938" w:rsidP="0036481F">
            <w:pPr>
              <w:pStyle w:val="PLRTextUnindented"/>
              <w:keepNext/>
              <w:tabs>
                <w:tab w:val="left" w:pos="342"/>
              </w:tabs>
              <w:ind w:left="335"/>
              <w:rPr>
                <w:rFonts w:ascii="Times New Roman" w:hAnsi="Times New Roman"/>
                <w:sz w:val="22"/>
                <w:szCs w:val="22"/>
              </w:rPr>
            </w:pPr>
            <w:r w:rsidRPr="00AD464F">
              <w:rPr>
                <w:rFonts w:ascii="Times New Roman" w:hAnsi="Times New Roman"/>
                <w:sz w:val="22"/>
              </w:rPr>
              <w:t>RP – pourcentage</w:t>
            </w:r>
          </w:p>
        </w:tc>
        <w:tc>
          <w:tcPr>
            <w:tcW w:w="3813" w:type="dxa"/>
            <w:tcBorders>
              <w:top w:val="single" w:sz="4" w:space="0" w:color="auto"/>
              <w:left w:val="single" w:sz="4" w:space="0" w:color="auto"/>
              <w:bottom w:val="single" w:sz="4" w:space="0" w:color="auto"/>
              <w:right w:val="single" w:sz="4" w:space="0" w:color="auto"/>
            </w:tcBorders>
            <w:shd w:val="clear" w:color="auto" w:fill="auto"/>
          </w:tcPr>
          <w:p w14:paraId="27910070" w14:textId="5799D260" w:rsidR="00731938" w:rsidRPr="00AD464F" w:rsidRDefault="00974AD9" w:rsidP="0036481F">
            <w:pPr>
              <w:pStyle w:val="PLRTextUnindented"/>
              <w:keepNext/>
              <w:jc w:val="center"/>
              <w:rPr>
                <w:rFonts w:ascii="Times New Roman" w:hAnsi="Times New Roman"/>
                <w:sz w:val="22"/>
                <w:szCs w:val="22"/>
              </w:rPr>
            </w:pPr>
            <w:r w:rsidRPr="00AD464F">
              <w:rPr>
                <w:rFonts w:ascii="Times New Roman" w:hAnsi="Times New Roman"/>
                <w:sz w:val="22"/>
              </w:rPr>
              <w:t>37,8</w:t>
            </w:r>
          </w:p>
        </w:tc>
      </w:tr>
      <w:tr w:rsidR="00731938" w:rsidRPr="00AD464F" w14:paraId="30156D6B" w14:textId="77777777" w:rsidTr="00E54A74">
        <w:trPr>
          <w:trHeight w:val="198"/>
          <w:jc w:val="center"/>
        </w:trPr>
        <w:tc>
          <w:tcPr>
            <w:tcW w:w="9195" w:type="dxa"/>
            <w:gridSpan w:val="2"/>
            <w:tcBorders>
              <w:top w:val="single" w:sz="4" w:space="0" w:color="auto"/>
              <w:left w:val="single" w:sz="4" w:space="0" w:color="auto"/>
              <w:bottom w:val="single" w:sz="4" w:space="0" w:color="auto"/>
              <w:right w:val="single" w:sz="4" w:space="0" w:color="auto"/>
            </w:tcBorders>
            <w:shd w:val="clear" w:color="auto" w:fill="auto"/>
          </w:tcPr>
          <w:p w14:paraId="46406953" w14:textId="232E77B8" w:rsidR="00731938" w:rsidRPr="00AD464F" w:rsidRDefault="00731938" w:rsidP="001E36A9">
            <w:pPr>
              <w:pStyle w:val="PLRTextUnindented"/>
              <w:keepNext/>
              <w:rPr>
                <w:rFonts w:ascii="Times New Roman" w:hAnsi="Times New Roman"/>
                <w:b/>
                <w:sz w:val="22"/>
                <w:szCs w:val="22"/>
                <w:vertAlign w:val="superscript"/>
              </w:rPr>
            </w:pPr>
            <w:r w:rsidRPr="00AD464F">
              <w:rPr>
                <w:rFonts w:ascii="Times New Roman" w:hAnsi="Times New Roman"/>
                <w:b/>
                <w:sz w:val="22"/>
              </w:rPr>
              <w:t>Durée de la réponse</w:t>
            </w:r>
          </w:p>
        </w:tc>
      </w:tr>
      <w:tr w:rsidR="00731938" w:rsidRPr="00AD464F" w14:paraId="19DB086A" w14:textId="77777777" w:rsidTr="00E54A74">
        <w:trPr>
          <w:trHeight w:val="198"/>
          <w:jc w:val="center"/>
        </w:trPr>
        <w:tc>
          <w:tcPr>
            <w:tcW w:w="5382" w:type="dxa"/>
            <w:tcBorders>
              <w:top w:val="single" w:sz="4" w:space="0" w:color="auto"/>
              <w:left w:val="single" w:sz="4" w:space="0" w:color="auto"/>
              <w:bottom w:val="single" w:sz="4" w:space="0" w:color="auto"/>
              <w:right w:val="single" w:sz="4" w:space="0" w:color="auto"/>
            </w:tcBorders>
          </w:tcPr>
          <w:p w14:paraId="1CF6C11F" w14:textId="7236F3F6" w:rsidR="00731938" w:rsidRPr="00AD464F" w:rsidRDefault="00731938" w:rsidP="001E36A9">
            <w:pPr>
              <w:pStyle w:val="PLRTextUnindented"/>
              <w:keepNext/>
              <w:tabs>
                <w:tab w:val="left" w:pos="342"/>
              </w:tabs>
              <w:ind w:left="335"/>
              <w:rPr>
                <w:rFonts w:ascii="Times New Roman" w:hAnsi="Times New Roman"/>
                <w:sz w:val="22"/>
                <w:szCs w:val="22"/>
              </w:rPr>
            </w:pPr>
            <w:r w:rsidRPr="00AD464F">
              <w:rPr>
                <w:rFonts w:ascii="Times New Roman" w:hAnsi="Times New Roman"/>
                <w:sz w:val="22"/>
              </w:rPr>
              <w:t>Médiane - mois (IC à 95 %)</w:t>
            </w:r>
          </w:p>
        </w:tc>
        <w:tc>
          <w:tcPr>
            <w:tcW w:w="3813" w:type="dxa"/>
            <w:tcBorders>
              <w:top w:val="single" w:sz="4" w:space="0" w:color="auto"/>
              <w:left w:val="single" w:sz="4" w:space="0" w:color="auto"/>
              <w:bottom w:val="single" w:sz="4" w:space="0" w:color="auto"/>
              <w:right w:val="single" w:sz="4" w:space="0" w:color="auto"/>
            </w:tcBorders>
            <w:shd w:val="clear" w:color="auto" w:fill="auto"/>
          </w:tcPr>
          <w:p w14:paraId="6DA97ADB" w14:textId="7400D6DE" w:rsidR="00731938" w:rsidRPr="00AD464F" w:rsidRDefault="00375293" w:rsidP="0036481F">
            <w:pPr>
              <w:pStyle w:val="PLRTextUnindented"/>
              <w:keepNext/>
              <w:jc w:val="center"/>
              <w:rPr>
                <w:rFonts w:ascii="Times New Roman" w:hAnsi="Times New Roman"/>
                <w:sz w:val="22"/>
                <w:szCs w:val="22"/>
              </w:rPr>
            </w:pPr>
            <w:r>
              <w:rPr>
                <w:rFonts w:ascii="Times New Roman" w:hAnsi="Times New Roman"/>
                <w:sz w:val="22"/>
              </w:rPr>
              <w:t>17,61 (</w:t>
            </w:r>
            <w:r w:rsidR="009462FB">
              <w:rPr>
                <w:rFonts w:ascii="Times New Roman" w:hAnsi="Times New Roman"/>
                <w:sz w:val="22"/>
              </w:rPr>
              <w:t>7,29, 27,24)</w:t>
            </w:r>
          </w:p>
        </w:tc>
      </w:tr>
    </w:tbl>
    <w:p w14:paraId="1AC76B08" w14:textId="0ABF5A43" w:rsidR="00731938" w:rsidRPr="00AD464F" w:rsidRDefault="00731938" w:rsidP="0036481F">
      <w:pPr>
        <w:pStyle w:val="PLRBodyTextIndented"/>
        <w:keepNext/>
        <w:ind w:firstLine="0"/>
        <w:rPr>
          <w:rFonts w:ascii="Times New Roman" w:hAnsi="Times New Roman"/>
          <w:sz w:val="22"/>
        </w:rPr>
      </w:pPr>
      <w:r w:rsidRPr="00AD464F">
        <w:rPr>
          <w:rFonts w:ascii="Times New Roman" w:hAnsi="Times New Roman"/>
          <w:sz w:val="22"/>
        </w:rPr>
        <w:t>Abréviations : IC</w:t>
      </w:r>
      <w:r w:rsidR="00AC46F4">
        <w:rPr>
          <w:rFonts w:ascii="Times New Roman" w:hAnsi="Times New Roman"/>
          <w:sz w:val="22"/>
        </w:rPr>
        <w:t> </w:t>
      </w:r>
      <w:r w:rsidRPr="00AD464F">
        <w:rPr>
          <w:rFonts w:ascii="Times New Roman" w:hAnsi="Times New Roman"/>
          <w:sz w:val="22"/>
        </w:rPr>
        <w:t>=</w:t>
      </w:r>
      <w:r w:rsidR="00AC46F4">
        <w:rPr>
          <w:rFonts w:ascii="Times New Roman" w:hAnsi="Times New Roman"/>
          <w:sz w:val="22"/>
        </w:rPr>
        <w:t> </w:t>
      </w:r>
      <w:r w:rsidRPr="00AD464F">
        <w:rPr>
          <w:rFonts w:ascii="Times New Roman" w:hAnsi="Times New Roman"/>
          <w:sz w:val="22"/>
        </w:rPr>
        <w:t>intervalle de confiance, NE</w:t>
      </w:r>
      <w:r w:rsidR="00AC46F4">
        <w:rPr>
          <w:rFonts w:ascii="Times New Roman" w:hAnsi="Times New Roman"/>
          <w:sz w:val="22"/>
        </w:rPr>
        <w:t> </w:t>
      </w:r>
      <w:r w:rsidRPr="00AD464F">
        <w:rPr>
          <w:rFonts w:ascii="Times New Roman" w:hAnsi="Times New Roman"/>
          <w:sz w:val="22"/>
        </w:rPr>
        <w:t>=</w:t>
      </w:r>
      <w:r w:rsidR="00AC46F4">
        <w:rPr>
          <w:rFonts w:ascii="Times New Roman" w:hAnsi="Times New Roman"/>
          <w:sz w:val="22"/>
        </w:rPr>
        <w:t> </w:t>
      </w:r>
      <w:r w:rsidRPr="00AD464F">
        <w:rPr>
          <w:rFonts w:ascii="Times New Roman" w:hAnsi="Times New Roman"/>
          <w:sz w:val="22"/>
        </w:rPr>
        <w:t>non estimable, RC</w:t>
      </w:r>
      <w:r w:rsidR="00AC46F4">
        <w:rPr>
          <w:rFonts w:ascii="Times New Roman" w:hAnsi="Times New Roman"/>
          <w:sz w:val="22"/>
        </w:rPr>
        <w:t> </w:t>
      </w:r>
      <w:r w:rsidRPr="00AD464F">
        <w:rPr>
          <w:rFonts w:ascii="Times New Roman" w:hAnsi="Times New Roman"/>
          <w:sz w:val="22"/>
        </w:rPr>
        <w:t>=</w:t>
      </w:r>
      <w:r w:rsidR="00AC46F4">
        <w:rPr>
          <w:rFonts w:ascii="Times New Roman" w:hAnsi="Times New Roman"/>
          <w:sz w:val="22"/>
        </w:rPr>
        <w:t> </w:t>
      </w:r>
      <w:r w:rsidRPr="00AD464F">
        <w:rPr>
          <w:rFonts w:ascii="Times New Roman" w:hAnsi="Times New Roman"/>
          <w:sz w:val="22"/>
        </w:rPr>
        <w:t>réponse complète, RP</w:t>
      </w:r>
      <w:r w:rsidR="00AC46F4">
        <w:rPr>
          <w:rFonts w:ascii="Times New Roman" w:hAnsi="Times New Roman"/>
          <w:sz w:val="22"/>
        </w:rPr>
        <w:t> </w:t>
      </w:r>
      <w:r w:rsidRPr="00AD464F">
        <w:rPr>
          <w:rFonts w:ascii="Times New Roman" w:hAnsi="Times New Roman"/>
          <w:sz w:val="22"/>
        </w:rPr>
        <w:t>=</w:t>
      </w:r>
      <w:r w:rsidR="00AC46F4">
        <w:rPr>
          <w:rFonts w:ascii="Times New Roman" w:hAnsi="Times New Roman"/>
          <w:sz w:val="22"/>
        </w:rPr>
        <w:t> </w:t>
      </w:r>
      <w:r w:rsidRPr="00AD464F">
        <w:rPr>
          <w:rFonts w:ascii="Times New Roman" w:hAnsi="Times New Roman"/>
          <w:sz w:val="22"/>
        </w:rPr>
        <w:t>réponse partielle.</w:t>
      </w:r>
    </w:p>
    <w:p w14:paraId="1792EE93" w14:textId="7B7A75B3" w:rsidR="00301C6D" w:rsidRDefault="009462FB" w:rsidP="0036481F">
      <w:pPr>
        <w:pStyle w:val="PLRBodyTextIndented"/>
        <w:keepNext/>
        <w:ind w:firstLine="0"/>
        <w:rPr>
          <w:rFonts w:ascii="Times New Roman" w:hAnsi="Times New Roman"/>
          <w:sz w:val="22"/>
        </w:rPr>
      </w:pPr>
      <w:r>
        <w:rPr>
          <w:rFonts w:ascii="Times New Roman" w:hAnsi="Times New Roman"/>
          <w:sz w:val="22"/>
        </w:rPr>
        <w:t xml:space="preserve">Données à la date du : 29 Juillet 2022. </w:t>
      </w:r>
      <w:r w:rsidR="002E6932" w:rsidRPr="00AD464F">
        <w:rPr>
          <w:rFonts w:ascii="Times New Roman" w:hAnsi="Times New Roman"/>
          <w:sz w:val="22"/>
        </w:rPr>
        <w:t xml:space="preserve">La durée médiane du suivi pour la durée de la réponse était de </w:t>
      </w:r>
      <w:r w:rsidR="00197209">
        <w:rPr>
          <w:rFonts w:ascii="Times New Roman" w:hAnsi="Times New Roman"/>
          <w:sz w:val="22"/>
        </w:rPr>
        <w:t>12,68</w:t>
      </w:r>
      <w:r w:rsidR="002E6932" w:rsidRPr="00AD464F">
        <w:rPr>
          <w:rFonts w:ascii="Times New Roman" w:hAnsi="Times New Roman"/>
          <w:sz w:val="22"/>
        </w:rPr>
        <w:t> mois.</w:t>
      </w:r>
    </w:p>
    <w:p w14:paraId="551EA8DB" w14:textId="77777777" w:rsidR="00D17766" w:rsidRDefault="00D17766" w:rsidP="0036481F">
      <w:pPr>
        <w:pStyle w:val="PLRBodyTextIndented"/>
        <w:keepNext/>
        <w:ind w:firstLine="0"/>
        <w:rPr>
          <w:rFonts w:ascii="Times New Roman" w:hAnsi="Times New Roman"/>
          <w:sz w:val="22"/>
        </w:rPr>
      </w:pPr>
    </w:p>
    <w:p w14:paraId="2033D634" w14:textId="77777777" w:rsidR="006E7A55" w:rsidRPr="00642E07" w:rsidRDefault="006E7A55" w:rsidP="00642E07">
      <w:pPr>
        <w:pStyle w:val="PLRBodyTextIndented"/>
        <w:keepNext/>
        <w:ind w:firstLine="0"/>
        <w:rPr>
          <w:rFonts w:ascii="Times New Roman" w:hAnsi="Times New Roman"/>
          <w:i/>
          <w:iCs/>
          <w:sz w:val="22"/>
        </w:rPr>
      </w:pPr>
      <w:r w:rsidRPr="00642E07">
        <w:rPr>
          <w:rFonts w:ascii="Times New Roman" w:hAnsi="Times New Roman"/>
          <w:i/>
          <w:iCs/>
          <w:sz w:val="22"/>
        </w:rPr>
        <w:t xml:space="preserve">Leucémie lymphoïde chronique </w:t>
      </w:r>
    </w:p>
    <w:p w14:paraId="088A904D" w14:textId="4F65FC38" w:rsidR="00870927" w:rsidRPr="00AD464F" w:rsidRDefault="006E7A55" w:rsidP="00870927">
      <w:pPr>
        <w:keepNext/>
        <w:autoSpaceDE w:val="0"/>
        <w:autoSpaceDN w:val="0"/>
        <w:adjustRightInd w:val="0"/>
        <w:spacing w:line="240" w:lineRule="auto"/>
        <w:rPr>
          <w:szCs w:val="22"/>
        </w:rPr>
      </w:pPr>
      <w:r w:rsidRPr="006E7A55">
        <w:t xml:space="preserve">L’efficacité de Jaypirca chez les patients atteints d’une LLC prétraitée par un inhibiteur de la BTK a été évaluée dans le cadre d’un essai randomisé, multicentrique, international, ouvert et contrôlé activement (BRUIN CLL-321, Étude 20020). L’essai a recruté 238 patients atteints de LLC/SLL qui avaient été </w:t>
      </w:r>
      <w:r w:rsidR="00922E95">
        <w:t xml:space="preserve">précédemment </w:t>
      </w:r>
      <w:r w:rsidRPr="006E7A55">
        <w:t>traités par un inhibiteur de BTK. Les patients ont été randomisés selon un ra</w:t>
      </w:r>
      <w:r w:rsidR="00FB5489">
        <w:t xml:space="preserve">tio </w:t>
      </w:r>
      <w:r w:rsidRPr="006E7A55">
        <w:t xml:space="preserve">1:1 pour recevoir soit Jaypirca administré par voie orale une fois par jour à une dose de 200 mg jusqu’à </w:t>
      </w:r>
      <w:r w:rsidR="00BA254C" w:rsidRPr="00BA254C">
        <w:t xml:space="preserve">la progression de la maladie ou </w:t>
      </w:r>
      <w:r w:rsidR="00231B7D">
        <w:t>l’apparition</w:t>
      </w:r>
      <w:r w:rsidR="00BA254C" w:rsidRPr="00BA254C">
        <w:t xml:space="preserve"> d’une toxicité inacceptable</w:t>
      </w:r>
      <w:r w:rsidRPr="006E7A55">
        <w:t>, soit au choix de l’investigateur</w:t>
      </w:r>
      <w:r w:rsidR="00FB5489">
        <w:t> </w:t>
      </w:r>
      <w:r w:rsidRPr="006E7A55">
        <w:t>:</w:t>
      </w:r>
      <w:r w:rsidR="00870927" w:rsidRPr="00870927">
        <w:t xml:space="preserve"> </w:t>
      </w:r>
    </w:p>
    <w:p w14:paraId="7FAD534A" w14:textId="46CE9C6F" w:rsidR="006E7A55" w:rsidRPr="006E7A55" w:rsidRDefault="006E7A55" w:rsidP="00642E07">
      <w:pPr>
        <w:pStyle w:val="PLRBodyTextIndented"/>
        <w:keepNext/>
        <w:ind w:firstLine="0"/>
        <w:rPr>
          <w:rFonts w:ascii="Times New Roman" w:hAnsi="Times New Roman"/>
          <w:sz w:val="22"/>
        </w:rPr>
      </w:pPr>
    </w:p>
    <w:p w14:paraId="37614C3F" w14:textId="23F6810B" w:rsidR="006E7A55" w:rsidRPr="006E7A55" w:rsidRDefault="006E7A55" w:rsidP="00642E07">
      <w:pPr>
        <w:pStyle w:val="PLRBodyTextIndented"/>
        <w:keepNext/>
        <w:numPr>
          <w:ilvl w:val="0"/>
          <w:numId w:val="23"/>
        </w:numPr>
        <w:ind w:left="709" w:hanging="283"/>
        <w:rPr>
          <w:rFonts w:ascii="Times New Roman" w:hAnsi="Times New Roman"/>
          <w:sz w:val="22"/>
        </w:rPr>
      </w:pPr>
      <w:r w:rsidRPr="006E7A55">
        <w:rPr>
          <w:rFonts w:ascii="Times New Roman" w:hAnsi="Times New Roman"/>
          <w:sz w:val="22"/>
        </w:rPr>
        <w:t>Id</w:t>
      </w:r>
      <w:r w:rsidR="00231B7D">
        <w:rPr>
          <w:rFonts w:ascii="Times New Roman" w:hAnsi="Times New Roman"/>
          <w:sz w:val="22"/>
        </w:rPr>
        <w:t>é</w:t>
      </w:r>
      <w:r w:rsidRPr="006E7A55">
        <w:rPr>
          <w:rFonts w:ascii="Times New Roman" w:hAnsi="Times New Roman"/>
          <w:sz w:val="22"/>
        </w:rPr>
        <w:t>lalisib plus un produit à base de rituximab (IR) : Id</w:t>
      </w:r>
      <w:r w:rsidR="00231B7D">
        <w:rPr>
          <w:rFonts w:ascii="Times New Roman" w:hAnsi="Times New Roman"/>
          <w:sz w:val="22"/>
        </w:rPr>
        <w:t>é</w:t>
      </w:r>
      <w:r w:rsidRPr="006E7A55">
        <w:rPr>
          <w:rFonts w:ascii="Times New Roman" w:hAnsi="Times New Roman"/>
          <w:sz w:val="22"/>
        </w:rPr>
        <w:t xml:space="preserve">lalisib 150 mg par voie orale deux fois par jour jusqu’à </w:t>
      </w:r>
      <w:r w:rsidR="001470BF" w:rsidRPr="00BA254C">
        <w:rPr>
          <w:rFonts w:ascii="Times New Roman" w:hAnsi="Times New Roman"/>
          <w:sz w:val="22"/>
        </w:rPr>
        <w:t>la progression de la maladie ou la survenue d’une toxicité inacceptable</w:t>
      </w:r>
      <w:r w:rsidRPr="006E7A55">
        <w:rPr>
          <w:rFonts w:ascii="Times New Roman" w:hAnsi="Times New Roman"/>
          <w:sz w:val="22"/>
        </w:rPr>
        <w:t xml:space="preserve">, en association avec 8 perfusions d’un produit à base de rituximab (375 mg/m2 par voie intraveineuse le jour 1 du cycle 1, suivi de 500 mg/m2 toutes les 2 semaines pour 4 doses puis toutes les 4 semaines pour 3 doses), </w:t>
      </w:r>
      <w:r w:rsidR="00E37679">
        <w:rPr>
          <w:rFonts w:ascii="Times New Roman" w:hAnsi="Times New Roman"/>
          <w:sz w:val="22"/>
        </w:rPr>
        <w:t>pour un</w:t>
      </w:r>
      <w:r w:rsidRPr="006E7A55">
        <w:rPr>
          <w:rFonts w:ascii="Times New Roman" w:hAnsi="Times New Roman"/>
          <w:sz w:val="22"/>
        </w:rPr>
        <w:t xml:space="preserve"> cycle d</w:t>
      </w:r>
      <w:r w:rsidR="00E37679">
        <w:rPr>
          <w:rFonts w:ascii="Times New Roman" w:hAnsi="Times New Roman"/>
          <w:sz w:val="22"/>
        </w:rPr>
        <w:t>’une durée de</w:t>
      </w:r>
      <w:r w:rsidRPr="006E7A55">
        <w:rPr>
          <w:rFonts w:ascii="Times New Roman" w:hAnsi="Times New Roman"/>
          <w:sz w:val="22"/>
        </w:rPr>
        <w:t xml:space="preserve"> 28 jours.</w:t>
      </w:r>
    </w:p>
    <w:p w14:paraId="2AB6EB39" w14:textId="26C117BD" w:rsidR="006E7A55" w:rsidRPr="006E7A55" w:rsidRDefault="006E7A55" w:rsidP="00642E07">
      <w:pPr>
        <w:pStyle w:val="PLRBodyTextIndented"/>
        <w:keepNext/>
        <w:numPr>
          <w:ilvl w:val="1"/>
          <w:numId w:val="26"/>
        </w:numPr>
        <w:ind w:left="709" w:hanging="283"/>
        <w:rPr>
          <w:rFonts w:ascii="Times New Roman" w:hAnsi="Times New Roman"/>
          <w:sz w:val="22"/>
        </w:rPr>
      </w:pPr>
      <w:r w:rsidRPr="006E7A55">
        <w:rPr>
          <w:rFonts w:ascii="Times New Roman" w:hAnsi="Times New Roman"/>
          <w:sz w:val="22"/>
        </w:rPr>
        <w:t xml:space="preserve">Bendamustine plus un produit à base de rituximab (BR) : Bendamustine 70 mg/m2 par voie intraveineuse (jours 1 et 2 de chaque cycle de 28 jours), en association avec un produit à base de rituximab (375 mg/m2 par voie intraveineuse le jour 1 du cycle 1, puis 500 mg/m2 le jour 1 des cycles </w:t>
      </w:r>
      <w:r w:rsidR="00C66908">
        <w:rPr>
          <w:rFonts w:ascii="Times New Roman" w:hAnsi="Times New Roman"/>
          <w:sz w:val="22"/>
        </w:rPr>
        <w:t>suivants</w:t>
      </w:r>
      <w:r w:rsidRPr="006E7A55">
        <w:rPr>
          <w:rFonts w:ascii="Times New Roman" w:hAnsi="Times New Roman"/>
          <w:sz w:val="22"/>
        </w:rPr>
        <w:t>), pendant un maximum de 6 cycles.</w:t>
      </w:r>
    </w:p>
    <w:p w14:paraId="466AB77C" w14:textId="77777777" w:rsidR="006E7A55" w:rsidRPr="006E7A55" w:rsidRDefault="006E7A55" w:rsidP="00642E07">
      <w:pPr>
        <w:pStyle w:val="PLRBodyTextIndented"/>
        <w:keepNext/>
        <w:ind w:firstLine="0"/>
        <w:rPr>
          <w:rFonts w:ascii="Times New Roman" w:hAnsi="Times New Roman"/>
          <w:sz w:val="22"/>
        </w:rPr>
      </w:pPr>
    </w:p>
    <w:p w14:paraId="070DD85B" w14:textId="79C6A07E" w:rsidR="006E7A55" w:rsidRPr="006E7A55" w:rsidRDefault="006E7A55" w:rsidP="00642E07">
      <w:pPr>
        <w:pStyle w:val="PLRBodyTextIndented"/>
        <w:keepNext/>
        <w:ind w:firstLine="0"/>
        <w:rPr>
          <w:rFonts w:ascii="Times New Roman" w:hAnsi="Times New Roman"/>
          <w:sz w:val="22"/>
        </w:rPr>
      </w:pPr>
      <w:r w:rsidRPr="006E7A55">
        <w:rPr>
          <w:rFonts w:ascii="Times New Roman" w:hAnsi="Times New Roman"/>
          <w:sz w:val="22"/>
        </w:rPr>
        <w:t xml:space="preserve">La randomisation a été stratifiée en fonction du statut de délétion 17p (oui/non) et de la </w:t>
      </w:r>
      <w:r w:rsidR="000931FC">
        <w:rPr>
          <w:rFonts w:ascii="Times New Roman" w:hAnsi="Times New Roman"/>
          <w:sz w:val="22"/>
        </w:rPr>
        <w:t>prise</w:t>
      </w:r>
      <w:r w:rsidRPr="006E7A55">
        <w:rPr>
          <w:rFonts w:ascii="Times New Roman" w:hAnsi="Times New Roman"/>
          <w:sz w:val="22"/>
        </w:rPr>
        <w:t xml:space="preserve"> d’un traitement antérieur </w:t>
      </w:r>
      <w:r w:rsidR="000931FC">
        <w:rPr>
          <w:rFonts w:ascii="Times New Roman" w:hAnsi="Times New Roman"/>
          <w:sz w:val="22"/>
        </w:rPr>
        <w:t>par</w:t>
      </w:r>
      <w:r w:rsidRPr="006E7A55">
        <w:rPr>
          <w:rFonts w:ascii="Times New Roman" w:hAnsi="Times New Roman"/>
          <w:sz w:val="22"/>
        </w:rPr>
        <w:t xml:space="preserve"> vénétoclax (oui/non). Sur un total de 238 patients, 119 ont été assignés à Jaypirca en monothérapie, 82 à l’IR et 37 au BR. Après confirmation de la progression de la maladie, les patients randomisés </w:t>
      </w:r>
      <w:r w:rsidR="007934B8">
        <w:rPr>
          <w:rFonts w:ascii="Times New Roman" w:hAnsi="Times New Roman"/>
          <w:sz w:val="22"/>
        </w:rPr>
        <w:t>dans le groupe</w:t>
      </w:r>
      <w:r w:rsidRPr="006E7A55">
        <w:rPr>
          <w:rFonts w:ascii="Times New Roman" w:hAnsi="Times New Roman"/>
          <w:sz w:val="22"/>
        </w:rPr>
        <w:t xml:space="preserve"> IR ou BR avaient la possibilité de passer à Jaypirca en monothérapie. Les caractéristiques initiales étaient similaires entre les groupes de traitement. Dans l’ensemble, l’âge médian était de 67 ans (</w:t>
      </w:r>
      <w:r w:rsidR="0095724F">
        <w:rPr>
          <w:rFonts w:ascii="Times New Roman" w:hAnsi="Times New Roman"/>
          <w:sz w:val="22"/>
        </w:rPr>
        <w:t xml:space="preserve">intervalle : </w:t>
      </w:r>
      <w:r w:rsidRPr="006E7A55">
        <w:rPr>
          <w:rFonts w:ascii="Times New Roman" w:hAnsi="Times New Roman"/>
          <w:sz w:val="22"/>
        </w:rPr>
        <w:t xml:space="preserve">42 à 90 ans), 70 % étaient des hommes et 81 % étaient blancs. L’indice de performance ECOG de base était de 0 ou 1 chez 93 % des patients et 44 % des patients avaient une maladie de stade III ou IV </w:t>
      </w:r>
      <w:r w:rsidR="00E82E7B">
        <w:rPr>
          <w:rFonts w:ascii="Times New Roman" w:hAnsi="Times New Roman"/>
          <w:sz w:val="22"/>
        </w:rPr>
        <w:t xml:space="preserve">selon la classification </w:t>
      </w:r>
      <w:r w:rsidRPr="006E7A55">
        <w:rPr>
          <w:rFonts w:ascii="Times New Roman" w:hAnsi="Times New Roman"/>
          <w:sz w:val="22"/>
        </w:rPr>
        <w:t xml:space="preserve">de Rai. Parmi les patients pour lesquels un test central était disponible, 57 % (101 sur 176 patients) présentaient une délétion 17p et/ou une mutation TP53, 86 % (164 patients sur 190) avaient un IGHV non muté et 65 % (97 sur 149) avaient un caryotype complexe. </w:t>
      </w:r>
    </w:p>
    <w:p w14:paraId="3931D966" w14:textId="77777777" w:rsidR="006E7A55" w:rsidRPr="006E7A55" w:rsidRDefault="006E7A55" w:rsidP="006E7A55">
      <w:pPr>
        <w:pStyle w:val="PLRBodyTextIndented"/>
        <w:keepNext/>
        <w:rPr>
          <w:rFonts w:ascii="Times New Roman" w:hAnsi="Times New Roman"/>
          <w:sz w:val="22"/>
        </w:rPr>
      </w:pPr>
    </w:p>
    <w:p w14:paraId="486DFCB0" w14:textId="2843AAC8" w:rsidR="006E7A55" w:rsidRPr="006E7A55" w:rsidRDefault="006E7A55" w:rsidP="00642E07">
      <w:pPr>
        <w:pStyle w:val="PLRBodyTextIndented"/>
        <w:keepNext/>
        <w:ind w:firstLine="0"/>
        <w:rPr>
          <w:rFonts w:ascii="Times New Roman" w:hAnsi="Times New Roman"/>
          <w:sz w:val="22"/>
        </w:rPr>
      </w:pPr>
      <w:r w:rsidRPr="006E7A55">
        <w:rPr>
          <w:rFonts w:ascii="Times New Roman" w:hAnsi="Times New Roman"/>
          <w:sz w:val="22"/>
        </w:rPr>
        <w:t>Les patients ont reçu un nombre médian de 3 lignes de traitement antérieures (intervalle : 1 à 13), 57</w:t>
      </w:r>
      <w:r w:rsidR="000D1C9C">
        <w:rPr>
          <w:rFonts w:ascii="Times New Roman" w:hAnsi="Times New Roman"/>
          <w:sz w:val="22"/>
        </w:rPr>
        <w:t> </w:t>
      </w:r>
      <w:r w:rsidRPr="006E7A55">
        <w:rPr>
          <w:rFonts w:ascii="Times New Roman" w:hAnsi="Times New Roman"/>
          <w:sz w:val="22"/>
        </w:rPr>
        <w:t xml:space="preserve">% ayant eu au moins 3 traitements antérieurs et 51 % ayant eu un traitement antérieur par inhibiteur de BCL2. Les inhibiteurs de la BTK les plus fréquemment administrés étaient l’ibrutinib (87 %), l’acalabrutinib (16 %) et le zanubrutinib (7 %). 70 % des patients ont arrêté le traitement par inhibiteur de BTK le plus récent en raison d’une maladie réfractaire ou progressive, 15 % ont </w:t>
      </w:r>
      <w:r w:rsidR="002D2CAC">
        <w:rPr>
          <w:rFonts w:ascii="Times New Roman" w:hAnsi="Times New Roman"/>
          <w:sz w:val="22"/>
        </w:rPr>
        <w:t>arrêté</w:t>
      </w:r>
      <w:r w:rsidRPr="006E7A55">
        <w:rPr>
          <w:rFonts w:ascii="Times New Roman" w:hAnsi="Times New Roman"/>
          <w:sz w:val="22"/>
        </w:rPr>
        <w:t xml:space="preserve"> en raison d’une toxicité et 1</w:t>
      </w:r>
      <w:r w:rsidR="00C33101">
        <w:rPr>
          <w:rFonts w:ascii="Times New Roman" w:hAnsi="Times New Roman"/>
          <w:sz w:val="22"/>
        </w:rPr>
        <w:t>5</w:t>
      </w:r>
      <w:r w:rsidRPr="006E7A55">
        <w:rPr>
          <w:rFonts w:ascii="Times New Roman" w:hAnsi="Times New Roman"/>
          <w:sz w:val="22"/>
        </w:rPr>
        <w:t xml:space="preserve"> % ont arrêté pour d’autres raisons. </w:t>
      </w:r>
    </w:p>
    <w:p w14:paraId="18A2113C" w14:textId="77777777" w:rsidR="00870927" w:rsidRDefault="00870927" w:rsidP="00870927">
      <w:pPr>
        <w:autoSpaceDE w:val="0"/>
        <w:autoSpaceDN w:val="0"/>
        <w:adjustRightInd w:val="0"/>
        <w:spacing w:line="240" w:lineRule="auto"/>
        <w:rPr>
          <w:color w:val="000000"/>
        </w:rPr>
      </w:pPr>
    </w:p>
    <w:p w14:paraId="71BB5D84" w14:textId="77777777" w:rsidR="00870927" w:rsidRDefault="00870927" w:rsidP="00870927">
      <w:pPr>
        <w:autoSpaceDE w:val="0"/>
        <w:autoSpaceDN w:val="0"/>
        <w:adjustRightInd w:val="0"/>
        <w:spacing w:line="240" w:lineRule="auto"/>
        <w:rPr>
          <w:color w:val="000000"/>
        </w:rPr>
      </w:pPr>
    </w:p>
    <w:p w14:paraId="6E2A6A39" w14:textId="77777777" w:rsidR="00870927" w:rsidRDefault="00870927" w:rsidP="00870927">
      <w:pPr>
        <w:autoSpaceDE w:val="0"/>
        <w:autoSpaceDN w:val="0"/>
        <w:adjustRightInd w:val="0"/>
        <w:spacing w:line="240" w:lineRule="auto"/>
        <w:rPr>
          <w:color w:val="000000"/>
        </w:rPr>
      </w:pPr>
    </w:p>
    <w:p w14:paraId="3A0FA6F7" w14:textId="77777777" w:rsidR="00870927" w:rsidRDefault="00870927" w:rsidP="00870927">
      <w:pPr>
        <w:autoSpaceDE w:val="0"/>
        <w:autoSpaceDN w:val="0"/>
        <w:adjustRightInd w:val="0"/>
        <w:spacing w:line="240" w:lineRule="auto"/>
        <w:rPr>
          <w:color w:val="000000"/>
        </w:rPr>
      </w:pPr>
    </w:p>
    <w:p w14:paraId="3E83D596" w14:textId="77777777" w:rsidR="006E7A55" w:rsidRPr="006E7A55" w:rsidRDefault="006E7A55" w:rsidP="006E7A55">
      <w:pPr>
        <w:pStyle w:val="PLRBodyTextIndented"/>
        <w:keepNext/>
        <w:rPr>
          <w:rFonts w:ascii="Times New Roman" w:hAnsi="Times New Roman"/>
          <w:sz w:val="22"/>
        </w:rPr>
      </w:pPr>
    </w:p>
    <w:p w14:paraId="206228FC" w14:textId="4D11A0C4" w:rsidR="00D17766" w:rsidRDefault="006E7A55" w:rsidP="00642E07">
      <w:pPr>
        <w:pStyle w:val="PLRBodyTextIndented"/>
        <w:widowControl w:val="0"/>
        <w:ind w:firstLine="0"/>
        <w:rPr>
          <w:rFonts w:ascii="Times New Roman" w:hAnsi="Times New Roman"/>
          <w:sz w:val="22"/>
        </w:rPr>
      </w:pPr>
      <w:r w:rsidRPr="006E7A55">
        <w:rPr>
          <w:rFonts w:ascii="Times New Roman" w:hAnsi="Times New Roman"/>
          <w:sz w:val="22"/>
        </w:rPr>
        <w:t xml:space="preserve">L’efficacité </w:t>
      </w:r>
      <w:r w:rsidR="007A5AB4">
        <w:rPr>
          <w:rFonts w:ascii="Times New Roman" w:hAnsi="Times New Roman"/>
          <w:sz w:val="22"/>
        </w:rPr>
        <w:t>était</w:t>
      </w:r>
      <w:r w:rsidRPr="006E7A55">
        <w:rPr>
          <w:rFonts w:ascii="Times New Roman" w:hAnsi="Times New Roman"/>
          <w:sz w:val="22"/>
        </w:rPr>
        <w:t xml:space="preserve"> </w:t>
      </w:r>
      <w:r w:rsidR="00383A41">
        <w:rPr>
          <w:rFonts w:ascii="Times New Roman" w:hAnsi="Times New Roman"/>
          <w:sz w:val="22"/>
        </w:rPr>
        <w:t>bas</w:t>
      </w:r>
      <w:r w:rsidRPr="006E7A55">
        <w:rPr>
          <w:rFonts w:ascii="Times New Roman" w:hAnsi="Times New Roman"/>
          <w:sz w:val="22"/>
        </w:rPr>
        <w:t xml:space="preserve">ée sur la survie sans progression (SSP) du pirtobrutinib en monothérapie par </w:t>
      </w:r>
      <w:r w:rsidRPr="00231B7D">
        <w:rPr>
          <w:rFonts w:ascii="Times New Roman" w:hAnsi="Times New Roman"/>
          <w:sz w:val="22"/>
          <w:szCs w:val="22"/>
        </w:rPr>
        <w:t xml:space="preserve">rapport au groupe choisi par l’investigateur, évaluée par un comité </w:t>
      </w:r>
      <w:r w:rsidR="00CE0A6D" w:rsidRPr="00231B7D">
        <w:rPr>
          <w:rFonts w:ascii="Times New Roman" w:hAnsi="Times New Roman"/>
          <w:sz w:val="22"/>
          <w:szCs w:val="22"/>
        </w:rPr>
        <w:t>de revue</w:t>
      </w:r>
      <w:r w:rsidRPr="00231B7D">
        <w:rPr>
          <w:rFonts w:ascii="Times New Roman" w:hAnsi="Times New Roman"/>
          <w:sz w:val="22"/>
          <w:szCs w:val="22"/>
        </w:rPr>
        <w:t xml:space="preserve"> indépendant (C</w:t>
      </w:r>
      <w:r w:rsidR="00CE0A6D" w:rsidRPr="00231B7D">
        <w:rPr>
          <w:rFonts w:ascii="Times New Roman" w:hAnsi="Times New Roman"/>
          <w:sz w:val="22"/>
          <w:szCs w:val="22"/>
        </w:rPr>
        <w:t>R</w:t>
      </w:r>
      <w:r w:rsidRPr="00231B7D">
        <w:rPr>
          <w:rFonts w:ascii="Times New Roman" w:hAnsi="Times New Roman"/>
          <w:sz w:val="22"/>
          <w:szCs w:val="22"/>
        </w:rPr>
        <w:t xml:space="preserve">I). L’étude a atteint son critère d’évaluation principal </w:t>
      </w:r>
      <w:r w:rsidR="006D332E" w:rsidRPr="00231B7D">
        <w:rPr>
          <w:rFonts w:ascii="Times New Roman" w:hAnsi="Times New Roman"/>
          <w:sz w:val="22"/>
          <w:szCs w:val="22"/>
        </w:rPr>
        <w:t xml:space="preserve">lors de </w:t>
      </w:r>
      <w:r w:rsidRPr="00231B7D">
        <w:rPr>
          <w:rFonts w:ascii="Times New Roman" w:hAnsi="Times New Roman"/>
          <w:sz w:val="22"/>
          <w:szCs w:val="22"/>
        </w:rPr>
        <w:t>l’analyse finale</w:t>
      </w:r>
      <w:r w:rsidR="0037414A" w:rsidRPr="00231B7D">
        <w:rPr>
          <w:rFonts w:ascii="Times New Roman" w:hAnsi="Times New Roman"/>
          <w:sz w:val="22"/>
          <w:szCs w:val="22"/>
        </w:rPr>
        <w:t xml:space="preserve"> préspécifiée</w:t>
      </w:r>
      <w:r w:rsidRPr="00231B7D">
        <w:rPr>
          <w:rFonts w:ascii="Times New Roman" w:hAnsi="Times New Roman"/>
          <w:sz w:val="22"/>
          <w:szCs w:val="22"/>
        </w:rPr>
        <w:t xml:space="preserve"> de la SSP évaluée par l</w:t>
      </w:r>
      <w:r w:rsidR="0037414A" w:rsidRPr="00231B7D">
        <w:rPr>
          <w:rFonts w:ascii="Times New Roman" w:hAnsi="Times New Roman"/>
          <w:sz w:val="22"/>
          <w:szCs w:val="22"/>
        </w:rPr>
        <w:t>e CRI</w:t>
      </w:r>
      <w:r w:rsidRPr="00231B7D">
        <w:rPr>
          <w:rFonts w:ascii="Times New Roman" w:hAnsi="Times New Roman"/>
          <w:sz w:val="22"/>
          <w:szCs w:val="22"/>
        </w:rPr>
        <w:t xml:space="preserve"> (</w:t>
      </w:r>
      <w:r w:rsidR="00382046" w:rsidRPr="00231B7D">
        <w:rPr>
          <w:rFonts w:ascii="Times New Roman" w:hAnsi="Times New Roman"/>
          <w:sz w:val="22"/>
          <w:szCs w:val="22"/>
        </w:rPr>
        <w:t>données à la date</w:t>
      </w:r>
      <w:r w:rsidRPr="00231B7D">
        <w:rPr>
          <w:rFonts w:ascii="Times New Roman" w:hAnsi="Times New Roman"/>
          <w:sz w:val="22"/>
          <w:szCs w:val="22"/>
        </w:rPr>
        <w:t xml:space="preserve"> du 29 août 2023). Lors d’une analyse </w:t>
      </w:r>
      <w:r w:rsidR="00D17F4C" w:rsidRPr="00231B7D">
        <w:rPr>
          <w:rFonts w:ascii="Times New Roman" w:hAnsi="Times New Roman"/>
          <w:sz w:val="22"/>
          <w:szCs w:val="22"/>
        </w:rPr>
        <w:t>actualisée</w:t>
      </w:r>
      <w:r w:rsidRPr="00231B7D">
        <w:rPr>
          <w:rFonts w:ascii="Times New Roman" w:hAnsi="Times New Roman"/>
          <w:sz w:val="22"/>
          <w:szCs w:val="22"/>
        </w:rPr>
        <w:t xml:space="preserve"> (</w:t>
      </w:r>
      <w:r w:rsidR="00D17F4C" w:rsidRPr="00231B7D">
        <w:rPr>
          <w:rFonts w:ascii="Times New Roman" w:hAnsi="Times New Roman"/>
          <w:sz w:val="22"/>
          <w:szCs w:val="22"/>
        </w:rPr>
        <w:t>données à la date du</w:t>
      </w:r>
      <w:r w:rsidRPr="00231B7D">
        <w:rPr>
          <w:rFonts w:ascii="Times New Roman" w:hAnsi="Times New Roman"/>
          <w:sz w:val="22"/>
          <w:szCs w:val="22"/>
        </w:rPr>
        <w:t xml:space="preserve"> 29 août 2024) avec un suivi médian de 19,4 mois (intervalle de 0,03 à 33,3 mois) pour le pirtobrutinib et de 17,7 mois (intervalle de 0,03 à 27,9 mois) pour le groupe choisi par l’investigateur, une amélioration de la SSP évaluée par </w:t>
      </w:r>
      <w:r w:rsidR="00FA1577" w:rsidRPr="00231B7D">
        <w:rPr>
          <w:rFonts w:ascii="Times New Roman" w:hAnsi="Times New Roman"/>
          <w:sz w:val="22"/>
          <w:szCs w:val="22"/>
        </w:rPr>
        <w:t>le CRI</w:t>
      </w:r>
      <w:r w:rsidRPr="00231B7D">
        <w:rPr>
          <w:rFonts w:ascii="Times New Roman" w:hAnsi="Times New Roman"/>
          <w:sz w:val="22"/>
          <w:szCs w:val="22"/>
        </w:rPr>
        <w:t xml:space="preserve"> a été observée avec le pirtobrutinib</w:t>
      </w:r>
      <w:r w:rsidR="0085164B" w:rsidRPr="00231B7D">
        <w:rPr>
          <w:rFonts w:ascii="Times New Roman" w:hAnsi="Times New Roman"/>
          <w:sz w:val="22"/>
          <w:szCs w:val="22"/>
        </w:rPr>
        <w:t xml:space="preserve"> en comparaison au bras </w:t>
      </w:r>
      <w:r w:rsidR="00140171" w:rsidRPr="00231B7D">
        <w:rPr>
          <w:rFonts w:ascii="Times New Roman" w:hAnsi="Times New Roman"/>
          <w:sz w:val="22"/>
          <w:szCs w:val="22"/>
        </w:rPr>
        <w:t>au choix de l’investigateur</w:t>
      </w:r>
      <w:r w:rsidRPr="00231B7D">
        <w:rPr>
          <w:rFonts w:ascii="Times New Roman" w:hAnsi="Times New Roman"/>
          <w:sz w:val="22"/>
          <w:szCs w:val="22"/>
        </w:rPr>
        <w:t xml:space="preserve">, </w:t>
      </w:r>
      <w:r w:rsidR="00FB5344" w:rsidRPr="00231B7D">
        <w:rPr>
          <w:rFonts w:ascii="Times New Roman" w:hAnsi="Times New Roman"/>
          <w:sz w:val="22"/>
          <w:szCs w:val="22"/>
        </w:rPr>
        <w:t xml:space="preserve">en cohérence avec </w:t>
      </w:r>
      <w:r w:rsidRPr="00231B7D">
        <w:rPr>
          <w:rFonts w:ascii="Times New Roman" w:hAnsi="Times New Roman"/>
          <w:sz w:val="22"/>
          <w:szCs w:val="22"/>
        </w:rPr>
        <w:t xml:space="preserve">l’analyse primaire. Des résultats d’efficacité cliniquement </w:t>
      </w:r>
      <w:r w:rsidR="00DE2E0D" w:rsidRPr="00231B7D">
        <w:rPr>
          <w:rFonts w:ascii="Times New Roman" w:hAnsi="Times New Roman"/>
          <w:sz w:val="22"/>
          <w:szCs w:val="22"/>
        </w:rPr>
        <w:t>pertinent</w:t>
      </w:r>
      <w:r w:rsidRPr="00231B7D">
        <w:rPr>
          <w:rFonts w:ascii="Times New Roman" w:hAnsi="Times New Roman"/>
          <w:sz w:val="22"/>
          <w:szCs w:val="22"/>
        </w:rPr>
        <w:t xml:space="preserve">s en faveur du pirtobrutinib ont été observés dans </w:t>
      </w:r>
      <w:r w:rsidR="00231B7D" w:rsidRPr="00231B7D">
        <w:rPr>
          <w:rFonts w:ascii="Times New Roman" w:hAnsi="Times New Roman"/>
          <w:sz w:val="22"/>
          <w:szCs w:val="22"/>
        </w:rPr>
        <w:t xml:space="preserve">d’importants </w:t>
      </w:r>
      <w:r w:rsidRPr="00231B7D">
        <w:rPr>
          <w:rFonts w:ascii="Times New Roman" w:hAnsi="Times New Roman"/>
          <w:sz w:val="22"/>
          <w:szCs w:val="22"/>
        </w:rPr>
        <w:t xml:space="preserve">sous-groupes, y compris chez les patients </w:t>
      </w:r>
      <w:r w:rsidR="00231B7D" w:rsidRPr="00231B7D">
        <w:rPr>
          <w:rFonts w:ascii="Times New Roman" w:hAnsi="Times New Roman"/>
          <w:sz w:val="22"/>
          <w:szCs w:val="22"/>
        </w:rPr>
        <w:t xml:space="preserve">ayant </w:t>
      </w:r>
      <w:r w:rsidRPr="00231B7D">
        <w:rPr>
          <w:rFonts w:ascii="Times New Roman" w:hAnsi="Times New Roman"/>
          <w:sz w:val="22"/>
          <w:szCs w:val="22"/>
        </w:rPr>
        <w:t xml:space="preserve">interrompu un traitement antérieur par inhibiteur de la BTK en raison d’une intolérance ou d’une progression, </w:t>
      </w:r>
      <w:r w:rsidR="00231B7D" w:rsidRPr="00231B7D">
        <w:rPr>
          <w:rFonts w:ascii="Times New Roman" w:hAnsi="Times New Roman"/>
          <w:sz w:val="22"/>
          <w:szCs w:val="22"/>
        </w:rPr>
        <w:t xml:space="preserve">et indépendamment du nombre et du type de traitements </w:t>
      </w:r>
      <w:r w:rsidR="00231B7D" w:rsidRPr="00231B7D">
        <w:rPr>
          <w:rFonts w:ascii="Times New Roman" w:hAnsi="Times New Roman"/>
          <w:sz w:val="22"/>
        </w:rPr>
        <w:t>antérieurs</w:t>
      </w:r>
      <w:r w:rsidRPr="006E7A55">
        <w:rPr>
          <w:rFonts w:ascii="Times New Roman" w:hAnsi="Times New Roman"/>
          <w:sz w:val="22"/>
        </w:rPr>
        <w:t xml:space="preserve">. Les résultats d’efficacité sont présentés dans le tableau 3. La courbe de Kaplan-Meier pour la SSP est illustrée </w:t>
      </w:r>
      <w:r w:rsidR="001F002B">
        <w:rPr>
          <w:rFonts w:ascii="Times New Roman" w:hAnsi="Times New Roman"/>
          <w:sz w:val="22"/>
        </w:rPr>
        <w:t>dans</w:t>
      </w:r>
      <w:r w:rsidRPr="006E7A55">
        <w:rPr>
          <w:rFonts w:ascii="Times New Roman" w:hAnsi="Times New Roman"/>
          <w:sz w:val="22"/>
        </w:rPr>
        <w:t xml:space="preserve"> la figure 1.</w:t>
      </w:r>
    </w:p>
    <w:p w14:paraId="292DF8E7" w14:textId="77777777" w:rsidR="001F002B" w:rsidRDefault="001F002B" w:rsidP="006E7A55">
      <w:pPr>
        <w:pStyle w:val="PLRBodyTextIndented"/>
        <w:keepNext/>
        <w:ind w:firstLine="0"/>
        <w:rPr>
          <w:rFonts w:ascii="Times New Roman" w:hAnsi="Times New Roman"/>
          <w:sz w:val="22"/>
        </w:rPr>
      </w:pPr>
    </w:p>
    <w:p w14:paraId="6C133215" w14:textId="25E9A346" w:rsidR="001F002B" w:rsidRPr="00642E07" w:rsidRDefault="005245DC" w:rsidP="00642E07">
      <w:pPr>
        <w:pStyle w:val="PLRBodyTextIndented"/>
        <w:widowControl w:val="0"/>
        <w:ind w:firstLine="0"/>
        <w:rPr>
          <w:rFonts w:ascii="Times New Roman" w:hAnsi="Times New Roman"/>
          <w:b/>
          <w:bCs/>
          <w:sz w:val="22"/>
        </w:rPr>
      </w:pPr>
      <w:r w:rsidRPr="00642E07">
        <w:rPr>
          <w:rFonts w:ascii="Times New Roman" w:hAnsi="Times New Roman"/>
          <w:b/>
          <w:bCs/>
          <w:sz w:val="22"/>
        </w:rPr>
        <w:t>Tableau 3 : Résultats d’efficacité</w:t>
      </w:r>
      <w:r w:rsidR="00DE7D6B" w:rsidRPr="00642E07">
        <w:rPr>
          <w:rFonts w:ascii="Times New Roman" w:hAnsi="Times New Roman"/>
          <w:b/>
          <w:bCs/>
          <w:sz w:val="22"/>
        </w:rPr>
        <w:t xml:space="preserve"> par le CRI chez </w:t>
      </w:r>
      <w:r w:rsidR="00A806CF" w:rsidRPr="00642E07">
        <w:rPr>
          <w:rFonts w:ascii="Times New Roman" w:hAnsi="Times New Roman"/>
          <w:b/>
          <w:bCs/>
          <w:sz w:val="22"/>
        </w:rPr>
        <w:t>les patients atteints d’une LLC prétraitée par un inhibiteur de la BTK</w:t>
      </w:r>
      <w:r w:rsidR="004407F4" w:rsidRPr="00642E07">
        <w:rPr>
          <w:rFonts w:ascii="Times New Roman" w:hAnsi="Times New Roman"/>
          <w:b/>
          <w:bCs/>
          <w:sz w:val="22"/>
        </w:rPr>
        <w:t xml:space="preserve"> – Population en intention de traiter (ITT) (Etude 20020)</w:t>
      </w:r>
    </w:p>
    <w:p w14:paraId="5F6DBBF5" w14:textId="77777777" w:rsidR="004407F4" w:rsidRDefault="004407F4" w:rsidP="00642E07">
      <w:pPr>
        <w:pStyle w:val="PLRBodyTextIndented"/>
        <w:widowControl w:val="0"/>
        <w:ind w:firstLine="0"/>
        <w:rPr>
          <w:rFonts w:ascii="Times New Roman" w:hAnsi="Times New Roman"/>
          <w:sz w:val="22"/>
        </w:rPr>
      </w:pPr>
    </w:p>
    <w:tbl>
      <w:tblPr>
        <w:tblStyle w:val="Tabelraster"/>
        <w:tblW w:w="0" w:type="auto"/>
        <w:tblLook w:val="04A0" w:firstRow="1" w:lastRow="0" w:firstColumn="1" w:lastColumn="0" w:noHBand="0" w:noVBand="1"/>
      </w:tblPr>
      <w:tblGrid>
        <w:gridCol w:w="3114"/>
        <w:gridCol w:w="2926"/>
        <w:gridCol w:w="3021"/>
      </w:tblGrid>
      <w:tr w:rsidR="004407F4" w14:paraId="63916105" w14:textId="77777777" w:rsidTr="00642E07">
        <w:tc>
          <w:tcPr>
            <w:tcW w:w="3114" w:type="dxa"/>
          </w:tcPr>
          <w:p w14:paraId="34F9B977" w14:textId="77777777" w:rsidR="004407F4" w:rsidRDefault="004407F4" w:rsidP="00642E07">
            <w:pPr>
              <w:pStyle w:val="PLRBodyTextIndented"/>
              <w:widowControl w:val="0"/>
              <w:ind w:firstLine="0"/>
              <w:rPr>
                <w:rFonts w:ascii="Times New Roman" w:hAnsi="Times New Roman"/>
                <w:sz w:val="22"/>
              </w:rPr>
            </w:pPr>
          </w:p>
        </w:tc>
        <w:tc>
          <w:tcPr>
            <w:tcW w:w="2926" w:type="dxa"/>
          </w:tcPr>
          <w:p w14:paraId="303CFDDB" w14:textId="489BABE9" w:rsidR="004407F4" w:rsidRPr="00642E07" w:rsidRDefault="004407F4" w:rsidP="00642E07">
            <w:pPr>
              <w:pStyle w:val="PLRBodyTextIndented"/>
              <w:widowControl w:val="0"/>
              <w:ind w:firstLine="0"/>
              <w:jc w:val="center"/>
              <w:rPr>
                <w:rFonts w:ascii="Times New Roman" w:hAnsi="Times New Roman"/>
                <w:b/>
                <w:bCs/>
                <w:sz w:val="22"/>
              </w:rPr>
            </w:pPr>
            <w:r w:rsidRPr="00642E07">
              <w:rPr>
                <w:rFonts w:ascii="Times New Roman" w:hAnsi="Times New Roman"/>
                <w:b/>
                <w:bCs/>
                <w:sz w:val="22"/>
              </w:rPr>
              <w:t xml:space="preserve">Pirtobrutinib 200 mg </w:t>
            </w:r>
            <w:r w:rsidR="006747C2" w:rsidRPr="00642E07">
              <w:rPr>
                <w:rFonts w:ascii="Times New Roman" w:hAnsi="Times New Roman"/>
                <w:b/>
                <w:bCs/>
                <w:sz w:val="22"/>
              </w:rPr>
              <w:t>une fois par jour</w:t>
            </w:r>
          </w:p>
          <w:p w14:paraId="6B4CCA11" w14:textId="377DD110" w:rsidR="006747C2" w:rsidRPr="00642E07" w:rsidRDefault="006747C2" w:rsidP="00642E07">
            <w:pPr>
              <w:pStyle w:val="PLRBodyTextIndented"/>
              <w:widowControl w:val="0"/>
              <w:ind w:firstLine="0"/>
              <w:jc w:val="center"/>
              <w:rPr>
                <w:rFonts w:ascii="Times New Roman" w:hAnsi="Times New Roman"/>
                <w:b/>
                <w:bCs/>
                <w:sz w:val="22"/>
              </w:rPr>
            </w:pPr>
            <w:r w:rsidRPr="00642E07">
              <w:rPr>
                <w:rFonts w:ascii="Times New Roman" w:hAnsi="Times New Roman"/>
                <w:b/>
                <w:bCs/>
                <w:sz w:val="22"/>
              </w:rPr>
              <w:t>(N = 119)</w:t>
            </w:r>
          </w:p>
        </w:tc>
        <w:tc>
          <w:tcPr>
            <w:tcW w:w="3021" w:type="dxa"/>
          </w:tcPr>
          <w:p w14:paraId="3709CE10" w14:textId="171EF458" w:rsidR="004407F4" w:rsidRPr="00642E07" w:rsidRDefault="006747C2" w:rsidP="00642E07">
            <w:pPr>
              <w:pStyle w:val="PLRBodyTextIndented"/>
              <w:widowControl w:val="0"/>
              <w:ind w:firstLine="0"/>
              <w:jc w:val="center"/>
              <w:rPr>
                <w:rFonts w:ascii="Times New Roman" w:hAnsi="Times New Roman"/>
                <w:b/>
                <w:bCs/>
                <w:sz w:val="22"/>
              </w:rPr>
            </w:pPr>
            <w:r w:rsidRPr="00642E07">
              <w:rPr>
                <w:rFonts w:ascii="Times New Roman" w:hAnsi="Times New Roman"/>
                <w:b/>
                <w:bCs/>
                <w:sz w:val="22"/>
              </w:rPr>
              <w:t>Choix de l</w:t>
            </w:r>
            <w:r w:rsidR="00F90856" w:rsidRPr="00642E07">
              <w:rPr>
                <w:rFonts w:ascii="Times New Roman" w:hAnsi="Times New Roman"/>
                <w:b/>
                <w:bCs/>
                <w:sz w:val="22"/>
              </w:rPr>
              <w:t>’investigateur</w:t>
            </w:r>
          </w:p>
          <w:p w14:paraId="4A0FEE82" w14:textId="77777777" w:rsidR="007352F9" w:rsidRPr="00642E07" w:rsidRDefault="007352F9" w:rsidP="00642E07">
            <w:pPr>
              <w:pStyle w:val="PLRBodyTextIndented"/>
              <w:widowControl w:val="0"/>
              <w:ind w:firstLine="0"/>
              <w:jc w:val="center"/>
              <w:rPr>
                <w:rFonts w:ascii="Times New Roman" w:hAnsi="Times New Roman"/>
                <w:b/>
                <w:bCs/>
                <w:sz w:val="22"/>
              </w:rPr>
            </w:pPr>
            <w:r w:rsidRPr="00642E07">
              <w:rPr>
                <w:rFonts w:ascii="Times New Roman" w:hAnsi="Times New Roman"/>
                <w:b/>
                <w:bCs/>
                <w:sz w:val="22"/>
              </w:rPr>
              <w:t>Idelalisib plus Rituximab ou Bendamustine plus Rituximab</w:t>
            </w:r>
          </w:p>
          <w:p w14:paraId="7BF0E515" w14:textId="049F97CA" w:rsidR="007352F9" w:rsidRPr="00642E07" w:rsidRDefault="007352F9" w:rsidP="00642E07">
            <w:pPr>
              <w:pStyle w:val="PLRBodyTextIndented"/>
              <w:widowControl w:val="0"/>
              <w:ind w:firstLine="0"/>
              <w:jc w:val="center"/>
              <w:rPr>
                <w:rFonts w:ascii="Times New Roman" w:hAnsi="Times New Roman"/>
                <w:b/>
                <w:bCs/>
                <w:sz w:val="22"/>
              </w:rPr>
            </w:pPr>
            <w:r w:rsidRPr="00642E07">
              <w:rPr>
                <w:rFonts w:ascii="Times New Roman" w:hAnsi="Times New Roman"/>
                <w:b/>
                <w:bCs/>
                <w:sz w:val="22"/>
              </w:rPr>
              <w:t>(N = 119)</w:t>
            </w:r>
          </w:p>
        </w:tc>
      </w:tr>
      <w:tr w:rsidR="004407F4" w14:paraId="29CA9FFB" w14:textId="77777777" w:rsidTr="00642E07">
        <w:tc>
          <w:tcPr>
            <w:tcW w:w="3114" w:type="dxa"/>
          </w:tcPr>
          <w:p w14:paraId="5B43E989" w14:textId="00D50AB7" w:rsidR="004407F4" w:rsidRDefault="007352F9" w:rsidP="00642E07">
            <w:pPr>
              <w:pStyle w:val="PLRBodyTextIndented"/>
              <w:widowControl w:val="0"/>
              <w:ind w:firstLine="0"/>
              <w:rPr>
                <w:rFonts w:ascii="Times New Roman" w:hAnsi="Times New Roman"/>
                <w:sz w:val="22"/>
              </w:rPr>
            </w:pPr>
            <w:r w:rsidRPr="00642E07">
              <w:rPr>
                <w:rFonts w:ascii="Times New Roman" w:hAnsi="Times New Roman"/>
                <w:b/>
                <w:bCs/>
                <w:sz w:val="22"/>
              </w:rPr>
              <w:t>Survie sans progression</w:t>
            </w:r>
            <w:r w:rsidR="00206F78">
              <w:rPr>
                <w:rFonts w:ascii="Times New Roman" w:hAnsi="Times New Roman"/>
                <w:sz w:val="22"/>
              </w:rPr>
              <w:t xml:space="preserve"> </w:t>
            </w:r>
            <w:r w:rsidR="00206F78" w:rsidRPr="00642E07">
              <w:rPr>
                <w:rFonts w:ascii="Times New Roman" w:hAnsi="Times New Roman"/>
                <w:sz w:val="22"/>
                <w:vertAlign w:val="superscript"/>
              </w:rPr>
              <w:t>a</w:t>
            </w:r>
          </w:p>
        </w:tc>
        <w:tc>
          <w:tcPr>
            <w:tcW w:w="2926" w:type="dxa"/>
          </w:tcPr>
          <w:p w14:paraId="57631C1D" w14:textId="77777777" w:rsidR="004407F4" w:rsidRDefault="004407F4" w:rsidP="00642E07">
            <w:pPr>
              <w:pStyle w:val="PLRBodyTextIndented"/>
              <w:widowControl w:val="0"/>
              <w:ind w:firstLine="0"/>
              <w:rPr>
                <w:rFonts w:ascii="Times New Roman" w:hAnsi="Times New Roman"/>
                <w:sz w:val="22"/>
              </w:rPr>
            </w:pPr>
          </w:p>
        </w:tc>
        <w:tc>
          <w:tcPr>
            <w:tcW w:w="3021" w:type="dxa"/>
          </w:tcPr>
          <w:p w14:paraId="103A5B3B" w14:textId="77777777" w:rsidR="004407F4" w:rsidRDefault="004407F4" w:rsidP="00642E07">
            <w:pPr>
              <w:pStyle w:val="PLRBodyTextIndented"/>
              <w:widowControl w:val="0"/>
              <w:ind w:firstLine="0"/>
              <w:rPr>
                <w:rFonts w:ascii="Times New Roman" w:hAnsi="Times New Roman"/>
                <w:sz w:val="22"/>
              </w:rPr>
            </w:pPr>
          </w:p>
        </w:tc>
      </w:tr>
      <w:tr w:rsidR="004407F4" w14:paraId="652CD9E2" w14:textId="77777777" w:rsidTr="00642E07">
        <w:tc>
          <w:tcPr>
            <w:tcW w:w="3114" w:type="dxa"/>
          </w:tcPr>
          <w:p w14:paraId="5D6826D7" w14:textId="728A2C91" w:rsidR="004407F4" w:rsidRDefault="007352F9" w:rsidP="00642E07">
            <w:pPr>
              <w:pStyle w:val="PLRBodyTextIndented"/>
              <w:widowControl w:val="0"/>
              <w:ind w:firstLine="173"/>
              <w:rPr>
                <w:rFonts w:ascii="Times New Roman" w:hAnsi="Times New Roman"/>
                <w:sz w:val="22"/>
              </w:rPr>
            </w:pPr>
            <w:r>
              <w:rPr>
                <w:rFonts w:ascii="Times New Roman" w:hAnsi="Times New Roman"/>
                <w:sz w:val="22"/>
              </w:rPr>
              <w:t>Nombre d’évènements, n</w:t>
            </w:r>
          </w:p>
        </w:tc>
        <w:tc>
          <w:tcPr>
            <w:tcW w:w="2926" w:type="dxa"/>
          </w:tcPr>
          <w:p w14:paraId="7FA6EAF5" w14:textId="5076D927" w:rsidR="004407F4" w:rsidRDefault="007352F9" w:rsidP="00642E07">
            <w:pPr>
              <w:pStyle w:val="PLRBodyTextIndented"/>
              <w:widowControl w:val="0"/>
              <w:ind w:firstLine="0"/>
              <w:jc w:val="center"/>
              <w:rPr>
                <w:rFonts w:ascii="Times New Roman" w:hAnsi="Times New Roman"/>
                <w:sz w:val="22"/>
              </w:rPr>
            </w:pPr>
            <w:r>
              <w:rPr>
                <w:rFonts w:ascii="Times New Roman" w:hAnsi="Times New Roman"/>
                <w:sz w:val="22"/>
              </w:rPr>
              <w:t>74 (</w:t>
            </w:r>
            <w:r w:rsidR="00B81EA6">
              <w:rPr>
                <w:rFonts w:ascii="Times New Roman" w:hAnsi="Times New Roman"/>
                <w:sz w:val="22"/>
              </w:rPr>
              <w:t>62 %)</w:t>
            </w:r>
          </w:p>
        </w:tc>
        <w:tc>
          <w:tcPr>
            <w:tcW w:w="3021" w:type="dxa"/>
          </w:tcPr>
          <w:p w14:paraId="4190A593" w14:textId="602F8DF9" w:rsidR="004407F4" w:rsidRDefault="00B81EA6" w:rsidP="00642E07">
            <w:pPr>
              <w:pStyle w:val="PLRBodyTextIndented"/>
              <w:widowControl w:val="0"/>
              <w:ind w:firstLine="0"/>
              <w:jc w:val="center"/>
              <w:rPr>
                <w:rFonts w:ascii="Times New Roman" w:hAnsi="Times New Roman"/>
                <w:sz w:val="22"/>
              </w:rPr>
            </w:pPr>
            <w:r>
              <w:rPr>
                <w:rFonts w:ascii="Times New Roman" w:hAnsi="Times New Roman"/>
                <w:sz w:val="22"/>
              </w:rPr>
              <w:t>79 (66 %)</w:t>
            </w:r>
          </w:p>
        </w:tc>
      </w:tr>
      <w:tr w:rsidR="004407F4" w14:paraId="1D58B4F4" w14:textId="77777777" w:rsidTr="00642E07">
        <w:tc>
          <w:tcPr>
            <w:tcW w:w="3114" w:type="dxa"/>
          </w:tcPr>
          <w:p w14:paraId="04AF9902" w14:textId="488943DB" w:rsidR="004407F4" w:rsidRDefault="00A4529A" w:rsidP="00642E07">
            <w:pPr>
              <w:pStyle w:val="PLRBodyTextIndented"/>
              <w:widowControl w:val="0"/>
              <w:ind w:left="173" w:firstLine="142"/>
              <w:rPr>
                <w:rFonts w:ascii="Times New Roman" w:hAnsi="Times New Roman"/>
                <w:sz w:val="22"/>
              </w:rPr>
            </w:pPr>
            <w:r>
              <w:rPr>
                <w:rFonts w:ascii="Times New Roman" w:hAnsi="Times New Roman"/>
                <w:sz w:val="22"/>
              </w:rPr>
              <w:t>Progression de la maladie</w:t>
            </w:r>
          </w:p>
        </w:tc>
        <w:tc>
          <w:tcPr>
            <w:tcW w:w="2926" w:type="dxa"/>
          </w:tcPr>
          <w:p w14:paraId="5F8D9666" w14:textId="62C9C865" w:rsidR="004407F4" w:rsidRDefault="00A4529A" w:rsidP="00642E07">
            <w:pPr>
              <w:pStyle w:val="PLRBodyTextIndented"/>
              <w:widowControl w:val="0"/>
              <w:ind w:firstLine="0"/>
              <w:jc w:val="center"/>
              <w:rPr>
                <w:rFonts w:ascii="Times New Roman" w:hAnsi="Times New Roman"/>
                <w:sz w:val="22"/>
              </w:rPr>
            </w:pPr>
            <w:r>
              <w:rPr>
                <w:rFonts w:ascii="Times New Roman" w:hAnsi="Times New Roman"/>
                <w:sz w:val="22"/>
              </w:rPr>
              <w:t>60 (50 %)</w:t>
            </w:r>
          </w:p>
        </w:tc>
        <w:tc>
          <w:tcPr>
            <w:tcW w:w="3021" w:type="dxa"/>
          </w:tcPr>
          <w:p w14:paraId="55CFBB7E" w14:textId="232A6735" w:rsidR="004407F4" w:rsidRDefault="00A4529A" w:rsidP="00642E07">
            <w:pPr>
              <w:pStyle w:val="PLRBodyTextIndented"/>
              <w:widowControl w:val="0"/>
              <w:ind w:firstLine="0"/>
              <w:jc w:val="center"/>
              <w:rPr>
                <w:rFonts w:ascii="Times New Roman" w:hAnsi="Times New Roman"/>
                <w:sz w:val="22"/>
              </w:rPr>
            </w:pPr>
            <w:r>
              <w:rPr>
                <w:rFonts w:ascii="Times New Roman" w:hAnsi="Times New Roman"/>
                <w:sz w:val="22"/>
              </w:rPr>
              <w:t>66 (55 %)</w:t>
            </w:r>
          </w:p>
        </w:tc>
      </w:tr>
      <w:tr w:rsidR="004407F4" w14:paraId="2F33BCAB" w14:textId="77777777" w:rsidTr="00642E07">
        <w:tc>
          <w:tcPr>
            <w:tcW w:w="3114" w:type="dxa"/>
          </w:tcPr>
          <w:p w14:paraId="6F22C8DC" w14:textId="4BE6EE64" w:rsidR="004407F4" w:rsidRDefault="00A4529A" w:rsidP="00642E07">
            <w:pPr>
              <w:pStyle w:val="PLRBodyTextIndented"/>
              <w:widowControl w:val="0"/>
              <w:ind w:left="173" w:firstLine="142"/>
              <w:rPr>
                <w:rFonts w:ascii="Times New Roman" w:hAnsi="Times New Roman"/>
                <w:sz w:val="22"/>
              </w:rPr>
            </w:pPr>
            <w:r>
              <w:rPr>
                <w:rFonts w:ascii="Times New Roman" w:hAnsi="Times New Roman"/>
                <w:sz w:val="22"/>
              </w:rPr>
              <w:t>Décès</w:t>
            </w:r>
          </w:p>
        </w:tc>
        <w:tc>
          <w:tcPr>
            <w:tcW w:w="2926" w:type="dxa"/>
          </w:tcPr>
          <w:p w14:paraId="2480800F" w14:textId="0C8C44F3" w:rsidR="004407F4" w:rsidRDefault="00A4529A" w:rsidP="00642E07">
            <w:pPr>
              <w:pStyle w:val="PLRBodyTextIndented"/>
              <w:widowControl w:val="0"/>
              <w:ind w:firstLine="0"/>
              <w:jc w:val="center"/>
              <w:rPr>
                <w:rFonts w:ascii="Times New Roman" w:hAnsi="Times New Roman"/>
                <w:sz w:val="22"/>
              </w:rPr>
            </w:pPr>
            <w:r>
              <w:rPr>
                <w:rFonts w:ascii="Times New Roman" w:hAnsi="Times New Roman"/>
                <w:sz w:val="22"/>
              </w:rPr>
              <w:t>14 (12 %)</w:t>
            </w:r>
          </w:p>
        </w:tc>
        <w:tc>
          <w:tcPr>
            <w:tcW w:w="3021" w:type="dxa"/>
          </w:tcPr>
          <w:p w14:paraId="70BD74B8" w14:textId="6998669E" w:rsidR="004407F4" w:rsidRDefault="002D7E8E" w:rsidP="00642E07">
            <w:pPr>
              <w:pStyle w:val="PLRBodyTextIndented"/>
              <w:widowControl w:val="0"/>
              <w:ind w:firstLine="0"/>
              <w:jc w:val="center"/>
              <w:rPr>
                <w:rFonts w:ascii="Times New Roman" w:hAnsi="Times New Roman"/>
                <w:sz w:val="22"/>
              </w:rPr>
            </w:pPr>
            <w:r>
              <w:rPr>
                <w:rFonts w:ascii="Times New Roman" w:hAnsi="Times New Roman"/>
                <w:sz w:val="22"/>
              </w:rPr>
              <w:t>13 (11 %)</w:t>
            </w:r>
          </w:p>
        </w:tc>
      </w:tr>
      <w:tr w:rsidR="004407F4" w14:paraId="77700C50" w14:textId="77777777" w:rsidTr="00642E07">
        <w:tc>
          <w:tcPr>
            <w:tcW w:w="3114" w:type="dxa"/>
          </w:tcPr>
          <w:p w14:paraId="6ED9AF7B" w14:textId="0BE00299" w:rsidR="004407F4" w:rsidRDefault="002D7E8E" w:rsidP="00642E07">
            <w:pPr>
              <w:pStyle w:val="PLRBodyTextIndented"/>
              <w:widowControl w:val="0"/>
              <w:ind w:firstLine="173"/>
              <w:rPr>
                <w:rFonts w:ascii="Times New Roman" w:hAnsi="Times New Roman"/>
                <w:sz w:val="22"/>
              </w:rPr>
            </w:pPr>
            <w:r>
              <w:rPr>
                <w:rFonts w:ascii="Times New Roman" w:hAnsi="Times New Roman"/>
                <w:sz w:val="22"/>
              </w:rPr>
              <w:t>SSP médiane</w:t>
            </w:r>
            <w:r w:rsidR="009C0910">
              <w:rPr>
                <w:rFonts w:ascii="Times New Roman" w:hAnsi="Times New Roman"/>
                <w:sz w:val="22"/>
              </w:rPr>
              <w:t xml:space="preserve"> </w:t>
            </w:r>
            <w:r w:rsidR="005F6C09">
              <w:rPr>
                <w:rFonts w:ascii="Times New Roman" w:hAnsi="Times New Roman"/>
                <w:sz w:val="22"/>
              </w:rPr>
              <w:t>(</w:t>
            </w:r>
            <w:r w:rsidR="009C0910">
              <w:rPr>
                <w:rFonts w:ascii="Times New Roman" w:hAnsi="Times New Roman"/>
                <w:sz w:val="22"/>
              </w:rPr>
              <w:t>IC 95%), mois</w:t>
            </w:r>
            <w:r w:rsidR="0044553B">
              <w:rPr>
                <w:rFonts w:ascii="Times New Roman" w:hAnsi="Times New Roman"/>
                <w:sz w:val="22"/>
              </w:rPr>
              <w:t xml:space="preserve"> </w:t>
            </w:r>
            <w:r w:rsidR="0044553B" w:rsidRPr="00642E07">
              <w:rPr>
                <w:rFonts w:ascii="Times New Roman" w:hAnsi="Times New Roman"/>
                <w:sz w:val="22"/>
                <w:vertAlign w:val="superscript"/>
              </w:rPr>
              <w:t>b</w:t>
            </w:r>
          </w:p>
        </w:tc>
        <w:tc>
          <w:tcPr>
            <w:tcW w:w="2926" w:type="dxa"/>
          </w:tcPr>
          <w:p w14:paraId="302DE6D7" w14:textId="351CC531" w:rsidR="004407F4" w:rsidRDefault="002D7E8E" w:rsidP="00642E07">
            <w:pPr>
              <w:pStyle w:val="PLRBodyTextIndented"/>
              <w:widowControl w:val="0"/>
              <w:ind w:firstLine="0"/>
              <w:jc w:val="center"/>
              <w:rPr>
                <w:rFonts w:ascii="Times New Roman" w:hAnsi="Times New Roman"/>
                <w:sz w:val="22"/>
              </w:rPr>
            </w:pPr>
            <w:r>
              <w:rPr>
                <w:rFonts w:ascii="Times New Roman" w:hAnsi="Times New Roman"/>
                <w:sz w:val="22"/>
              </w:rPr>
              <w:t xml:space="preserve">14,0 (11,2 ; </w:t>
            </w:r>
            <w:r w:rsidR="009C0910">
              <w:rPr>
                <w:rFonts w:ascii="Times New Roman" w:hAnsi="Times New Roman"/>
                <w:sz w:val="22"/>
              </w:rPr>
              <w:t>16,6)</w:t>
            </w:r>
          </w:p>
        </w:tc>
        <w:tc>
          <w:tcPr>
            <w:tcW w:w="3021" w:type="dxa"/>
          </w:tcPr>
          <w:p w14:paraId="6BFD81F9" w14:textId="6ED74E47" w:rsidR="004407F4" w:rsidRDefault="009C0910" w:rsidP="00642E07">
            <w:pPr>
              <w:pStyle w:val="PLRBodyTextIndented"/>
              <w:widowControl w:val="0"/>
              <w:ind w:firstLine="0"/>
              <w:jc w:val="center"/>
              <w:rPr>
                <w:rFonts w:ascii="Times New Roman" w:hAnsi="Times New Roman"/>
                <w:sz w:val="22"/>
              </w:rPr>
            </w:pPr>
            <w:r>
              <w:rPr>
                <w:rFonts w:ascii="Times New Roman" w:hAnsi="Times New Roman"/>
                <w:sz w:val="22"/>
              </w:rPr>
              <w:t>8,7 (8,1 ; 10,4)</w:t>
            </w:r>
          </w:p>
        </w:tc>
      </w:tr>
      <w:tr w:rsidR="0044553B" w14:paraId="16313FC4" w14:textId="77777777" w:rsidTr="00642E07">
        <w:tc>
          <w:tcPr>
            <w:tcW w:w="3114" w:type="dxa"/>
          </w:tcPr>
          <w:p w14:paraId="209557C5" w14:textId="6BC47221" w:rsidR="0044553B" w:rsidRDefault="0044553B" w:rsidP="00642E07">
            <w:pPr>
              <w:pStyle w:val="PLRBodyTextIndented"/>
              <w:widowControl w:val="0"/>
              <w:ind w:firstLine="173"/>
              <w:rPr>
                <w:rFonts w:ascii="Times New Roman" w:hAnsi="Times New Roman"/>
                <w:sz w:val="22"/>
              </w:rPr>
            </w:pPr>
            <w:r>
              <w:rPr>
                <w:rFonts w:ascii="Times New Roman" w:hAnsi="Times New Roman"/>
                <w:sz w:val="22"/>
              </w:rPr>
              <w:t xml:space="preserve">HR (IC 95 %) </w:t>
            </w:r>
            <w:r w:rsidRPr="00642E07">
              <w:rPr>
                <w:rFonts w:ascii="Times New Roman" w:hAnsi="Times New Roman"/>
                <w:sz w:val="22"/>
                <w:vertAlign w:val="superscript"/>
              </w:rPr>
              <w:t>c</w:t>
            </w:r>
          </w:p>
        </w:tc>
        <w:tc>
          <w:tcPr>
            <w:tcW w:w="5947" w:type="dxa"/>
            <w:gridSpan w:val="2"/>
          </w:tcPr>
          <w:p w14:paraId="7E3D7152" w14:textId="02288A96" w:rsidR="0044553B" w:rsidRDefault="0044553B" w:rsidP="00642E07">
            <w:pPr>
              <w:pStyle w:val="PLRBodyTextIndented"/>
              <w:widowControl w:val="0"/>
              <w:ind w:firstLine="0"/>
              <w:jc w:val="center"/>
              <w:rPr>
                <w:rFonts w:ascii="Times New Roman" w:hAnsi="Times New Roman"/>
                <w:sz w:val="22"/>
              </w:rPr>
            </w:pPr>
            <w:r>
              <w:rPr>
                <w:rFonts w:ascii="Times New Roman" w:hAnsi="Times New Roman"/>
                <w:sz w:val="22"/>
              </w:rPr>
              <w:t xml:space="preserve">0,54 (0,39 ; </w:t>
            </w:r>
            <w:r w:rsidR="00FC29DA">
              <w:rPr>
                <w:rFonts w:ascii="Times New Roman" w:hAnsi="Times New Roman"/>
                <w:sz w:val="22"/>
              </w:rPr>
              <w:t>0,75)</w:t>
            </w:r>
          </w:p>
        </w:tc>
      </w:tr>
      <w:tr w:rsidR="0044553B" w14:paraId="43E409E1" w14:textId="77777777" w:rsidTr="00642E07">
        <w:tc>
          <w:tcPr>
            <w:tcW w:w="3114" w:type="dxa"/>
          </w:tcPr>
          <w:p w14:paraId="7A68081C" w14:textId="0E329A9E" w:rsidR="0044553B" w:rsidRDefault="00FC29DA" w:rsidP="00642E07">
            <w:pPr>
              <w:pStyle w:val="PLRBodyTextIndented"/>
              <w:widowControl w:val="0"/>
              <w:ind w:firstLine="173"/>
              <w:rPr>
                <w:rFonts w:ascii="Times New Roman" w:hAnsi="Times New Roman"/>
                <w:sz w:val="22"/>
              </w:rPr>
            </w:pPr>
            <w:r>
              <w:rPr>
                <w:rFonts w:ascii="Times New Roman" w:hAnsi="Times New Roman"/>
                <w:sz w:val="22"/>
              </w:rPr>
              <w:t xml:space="preserve">Valeur de p </w:t>
            </w:r>
            <w:r w:rsidRPr="00642E07">
              <w:rPr>
                <w:rFonts w:ascii="Times New Roman" w:hAnsi="Times New Roman"/>
                <w:sz w:val="22"/>
                <w:vertAlign w:val="superscript"/>
              </w:rPr>
              <w:t>d</w:t>
            </w:r>
          </w:p>
        </w:tc>
        <w:tc>
          <w:tcPr>
            <w:tcW w:w="5947" w:type="dxa"/>
            <w:gridSpan w:val="2"/>
          </w:tcPr>
          <w:p w14:paraId="5C51A998" w14:textId="4F2A32F8" w:rsidR="0044553B" w:rsidRDefault="00FC29DA" w:rsidP="00642E07">
            <w:pPr>
              <w:pStyle w:val="PLRBodyTextIndented"/>
              <w:widowControl w:val="0"/>
              <w:ind w:firstLine="0"/>
              <w:jc w:val="center"/>
              <w:rPr>
                <w:rFonts w:ascii="Times New Roman" w:hAnsi="Times New Roman"/>
                <w:sz w:val="22"/>
              </w:rPr>
            </w:pPr>
            <w:r>
              <w:rPr>
                <w:rFonts w:ascii="Times New Roman" w:hAnsi="Times New Roman"/>
                <w:sz w:val="22"/>
              </w:rPr>
              <w:t>0,0002</w:t>
            </w:r>
          </w:p>
        </w:tc>
      </w:tr>
    </w:tbl>
    <w:p w14:paraId="58556AF5" w14:textId="2DD8462C" w:rsidR="004407F4" w:rsidRDefault="00E3605D" w:rsidP="00642E07">
      <w:pPr>
        <w:pStyle w:val="PLRBodyTextIndented"/>
        <w:widowControl w:val="0"/>
        <w:ind w:firstLine="0"/>
        <w:rPr>
          <w:rFonts w:ascii="Times New Roman" w:hAnsi="Times New Roman"/>
          <w:sz w:val="22"/>
        </w:rPr>
      </w:pPr>
      <w:r>
        <w:rPr>
          <w:rFonts w:ascii="Times New Roman" w:hAnsi="Times New Roman"/>
          <w:sz w:val="22"/>
        </w:rPr>
        <w:t>IC</w:t>
      </w:r>
      <w:r w:rsidR="00B132F9">
        <w:rPr>
          <w:rFonts w:ascii="Times New Roman" w:hAnsi="Times New Roman"/>
          <w:sz w:val="22"/>
        </w:rPr>
        <w:t> : intervalle de confiance, HR : hazard ratio</w:t>
      </w:r>
      <w:r w:rsidR="009F526F">
        <w:rPr>
          <w:rFonts w:ascii="Times New Roman" w:hAnsi="Times New Roman"/>
          <w:sz w:val="22"/>
        </w:rPr>
        <w:t>.</w:t>
      </w:r>
    </w:p>
    <w:p w14:paraId="52629D4F" w14:textId="46ABA78C" w:rsidR="00363293" w:rsidRDefault="00363293" w:rsidP="00642E07">
      <w:pPr>
        <w:pStyle w:val="PLRBodyTextIndented"/>
        <w:widowControl w:val="0"/>
        <w:ind w:firstLine="0"/>
        <w:rPr>
          <w:rFonts w:ascii="Times New Roman" w:hAnsi="Times New Roman"/>
          <w:sz w:val="22"/>
        </w:rPr>
      </w:pPr>
      <w:r>
        <w:rPr>
          <w:rFonts w:ascii="Times New Roman" w:hAnsi="Times New Roman"/>
          <w:sz w:val="22"/>
        </w:rPr>
        <w:t>Données à la date du 29 août 2024</w:t>
      </w:r>
    </w:p>
    <w:p w14:paraId="7199E5BC" w14:textId="5157D958" w:rsidR="00363293" w:rsidRDefault="00206F78" w:rsidP="00642E07">
      <w:pPr>
        <w:pStyle w:val="PLRBodyTextIndented"/>
        <w:widowControl w:val="0"/>
        <w:ind w:firstLine="0"/>
        <w:rPr>
          <w:rFonts w:ascii="Times New Roman" w:hAnsi="Times New Roman"/>
          <w:sz w:val="22"/>
        </w:rPr>
      </w:pPr>
      <w:r w:rsidRPr="00642E07">
        <w:rPr>
          <w:rFonts w:ascii="Times New Roman" w:hAnsi="Times New Roman"/>
          <w:sz w:val="22"/>
          <w:vertAlign w:val="superscript"/>
        </w:rPr>
        <w:t>a</w:t>
      </w:r>
      <w:r>
        <w:rPr>
          <w:rFonts w:ascii="Times New Roman" w:hAnsi="Times New Roman"/>
          <w:sz w:val="22"/>
        </w:rPr>
        <w:t xml:space="preserve"> L’efficacité a été évaluée en utilisant </w:t>
      </w:r>
      <w:r w:rsidR="002440C7" w:rsidRPr="002440C7">
        <w:rPr>
          <w:rFonts w:ascii="Times New Roman" w:hAnsi="Times New Roman"/>
          <w:sz w:val="22"/>
        </w:rPr>
        <w:t xml:space="preserve">les </w:t>
      </w:r>
      <w:r w:rsidR="003D0039">
        <w:rPr>
          <w:rFonts w:ascii="Times New Roman" w:hAnsi="Times New Roman"/>
          <w:sz w:val="22"/>
        </w:rPr>
        <w:t>lignes directrices</w:t>
      </w:r>
      <w:r w:rsidR="002440C7" w:rsidRPr="002440C7">
        <w:rPr>
          <w:rFonts w:ascii="Times New Roman" w:hAnsi="Times New Roman"/>
          <w:sz w:val="22"/>
        </w:rPr>
        <w:t xml:space="preserve"> d</w:t>
      </w:r>
      <w:r w:rsidR="003D0039">
        <w:rPr>
          <w:rFonts w:ascii="Times New Roman" w:hAnsi="Times New Roman"/>
          <w:sz w:val="22"/>
        </w:rPr>
        <w:t>u groupe de travail international sur</w:t>
      </w:r>
      <w:r w:rsidR="002440C7" w:rsidRPr="002440C7">
        <w:rPr>
          <w:rFonts w:ascii="Times New Roman" w:hAnsi="Times New Roman"/>
          <w:sz w:val="22"/>
        </w:rPr>
        <w:t xml:space="preserve"> la leucémie lymphoïde chronique (</w:t>
      </w:r>
      <w:r w:rsidR="003D0039">
        <w:rPr>
          <w:rFonts w:ascii="Times New Roman" w:hAnsi="Times New Roman"/>
          <w:sz w:val="22"/>
        </w:rPr>
        <w:t xml:space="preserve">International Workshop for Chronic Lymphocytic Leukemia - </w:t>
      </w:r>
      <w:r w:rsidR="002440C7" w:rsidRPr="002440C7">
        <w:rPr>
          <w:rFonts w:ascii="Times New Roman" w:hAnsi="Times New Roman"/>
          <w:sz w:val="22"/>
        </w:rPr>
        <w:t>iwCLL) de 2018.</w:t>
      </w:r>
    </w:p>
    <w:p w14:paraId="495AC1D8" w14:textId="67650106" w:rsidR="009F526F" w:rsidRDefault="00924ED6" w:rsidP="00642E07">
      <w:pPr>
        <w:pStyle w:val="PLRBodyTextIndented"/>
        <w:widowControl w:val="0"/>
        <w:ind w:firstLine="0"/>
        <w:rPr>
          <w:rFonts w:ascii="Times New Roman" w:hAnsi="Times New Roman"/>
          <w:sz w:val="22"/>
        </w:rPr>
      </w:pPr>
      <w:r w:rsidRPr="00642E07">
        <w:rPr>
          <w:rFonts w:ascii="Times New Roman" w:hAnsi="Times New Roman"/>
          <w:sz w:val="22"/>
          <w:vertAlign w:val="superscript"/>
        </w:rPr>
        <w:t>b</w:t>
      </w:r>
      <w:r w:rsidR="009F526F">
        <w:rPr>
          <w:rFonts w:ascii="Times New Roman" w:hAnsi="Times New Roman"/>
          <w:sz w:val="22"/>
        </w:rPr>
        <w:t xml:space="preserve"> Basé sur l’estimation du Kaplan-Meier</w:t>
      </w:r>
    </w:p>
    <w:p w14:paraId="5EFF643A" w14:textId="79E3E488" w:rsidR="009F526F" w:rsidRDefault="00924ED6" w:rsidP="00642E07">
      <w:pPr>
        <w:pStyle w:val="PLRBodyTextIndented"/>
        <w:widowControl w:val="0"/>
        <w:ind w:firstLine="0"/>
        <w:rPr>
          <w:rFonts w:ascii="Times New Roman" w:hAnsi="Times New Roman"/>
          <w:sz w:val="22"/>
        </w:rPr>
      </w:pPr>
      <w:r w:rsidRPr="00642E07">
        <w:rPr>
          <w:rFonts w:ascii="Times New Roman" w:hAnsi="Times New Roman"/>
          <w:sz w:val="22"/>
          <w:vertAlign w:val="superscript"/>
        </w:rPr>
        <w:t>c</w:t>
      </w:r>
      <w:r w:rsidR="009F526F">
        <w:rPr>
          <w:rFonts w:ascii="Times New Roman" w:hAnsi="Times New Roman"/>
          <w:sz w:val="22"/>
        </w:rPr>
        <w:t xml:space="preserve"> </w:t>
      </w:r>
      <w:r w:rsidR="00C05474">
        <w:rPr>
          <w:rFonts w:ascii="Times New Roman" w:hAnsi="Times New Roman"/>
          <w:sz w:val="22"/>
        </w:rPr>
        <w:t>B</w:t>
      </w:r>
      <w:r w:rsidR="009F526F">
        <w:rPr>
          <w:rFonts w:ascii="Times New Roman" w:hAnsi="Times New Roman"/>
          <w:sz w:val="22"/>
        </w:rPr>
        <w:t xml:space="preserve">asé sur </w:t>
      </w:r>
      <w:r>
        <w:rPr>
          <w:rFonts w:ascii="Times New Roman" w:hAnsi="Times New Roman"/>
          <w:sz w:val="22"/>
        </w:rPr>
        <w:t>le modèle à risques proportionnels de Cox</w:t>
      </w:r>
    </w:p>
    <w:p w14:paraId="5385FD9B" w14:textId="39231370" w:rsidR="00924ED6" w:rsidRDefault="006C19EB" w:rsidP="00642E07">
      <w:pPr>
        <w:pStyle w:val="PLRBodyTextIndented"/>
        <w:widowControl w:val="0"/>
        <w:ind w:firstLine="0"/>
        <w:rPr>
          <w:rFonts w:ascii="Times New Roman" w:hAnsi="Times New Roman"/>
          <w:sz w:val="22"/>
        </w:rPr>
      </w:pPr>
      <w:r w:rsidRPr="00642E07">
        <w:rPr>
          <w:rFonts w:ascii="Times New Roman" w:hAnsi="Times New Roman"/>
          <w:sz w:val="22"/>
          <w:vertAlign w:val="superscript"/>
        </w:rPr>
        <w:t>d</w:t>
      </w:r>
      <w:r w:rsidR="00924ED6">
        <w:rPr>
          <w:rFonts w:ascii="Times New Roman" w:hAnsi="Times New Roman"/>
          <w:sz w:val="22"/>
        </w:rPr>
        <w:t xml:space="preserve"> </w:t>
      </w:r>
      <w:r>
        <w:rPr>
          <w:rFonts w:ascii="Times New Roman" w:hAnsi="Times New Roman"/>
          <w:sz w:val="22"/>
        </w:rPr>
        <w:t>valeur</w:t>
      </w:r>
      <w:r w:rsidR="00B77C89">
        <w:rPr>
          <w:rFonts w:ascii="Times New Roman" w:hAnsi="Times New Roman"/>
          <w:sz w:val="22"/>
        </w:rPr>
        <w:t xml:space="preserve"> nominale</w:t>
      </w:r>
      <w:r>
        <w:rPr>
          <w:rFonts w:ascii="Times New Roman" w:hAnsi="Times New Roman"/>
          <w:sz w:val="22"/>
        </w:rPr>
        <w:t xml:space="preserve"> de p</w:t>
      </w:r>
      <w:r w:rsidR="007D6847" w:rsidRPr="007D6847">
        <w:rPr>
          <w:rFonts w:ascii="Times New Roman" w:hAnsi="Times New Roman"/>
          <w:sz w:val="22"/>
        </w:rPr>
        <w:t xml:space="preserve"> </w:t>
      </w:r>
      <w:r w:rsidR="003E3988">
        <w:rPr>
          <w:rFonts w:ascii="Times New Roman" w:hAnsi="Times New Roman"/>
          <w:sz w:val="22"/>
        </w:rPr>
        <w:t>bilatérale</w:t>
      </w:r>
      <w:r w:rsidR="007D6847" w:rsidRPr="007D6847">
        <w:rPr>
          <w:rFonts w:ascii="Times New Roman" w:hAnsi="Times New Roman"/>
          <w:sz w:val="22"/>
        </w:rPr>
        <w:t xml:space="preserve"> basée sur </w:t>
      </w:r>
      <w:r w:rsidR="003E3988">
        <w:rPr>
          <w:rFonts w:ascii="Times New Roman" w:hAnsi="Times New Roman"/>
          <w:sz w:val="22"/>
        </w:rPr>
        <w:t>le</w:t>
      </w:r>
      <w:r w:rsidR="007D6847" w:rsidRPr="007D6847">
        <w:rPr>
          <w:rFonts w:ascii="Times New Roman" w:hAnsi="Times New Roman"/>
          <w:sz w:val="22"/>
        </w:rPr>
        <w:t xml:space="preserve"> test d</w:t>
      </w:r>
      <w:r w:rsidR="003E3988">
        <w:rPr>
          <w:rFonts w:ascii="Times New Roman" w:hAnsi="Times New Roman"/>
          <w:sz w:val="22"/>
        </w:rPr>
        <w:t>u</w:t>
      </w:r>
      <w:r w:rsidR="007D6847" w:rsidRPr="007D6847">
        <w:rPr>
          <w:rFonts w:ascii="Times New Roman" w:hAnsi="Times New Roman"/>
          <w:sz w:val="22"/>
        </w:rPr>
        <w:t xml:space="preserve"> log-rank stratifié</w:t>
      </w:r>
    </w:p>
    <w:p w14:paraId="5A1826E4" w14:textId="77777777" w:rsidR="00F13CF1" w:rsidRDefault="00F13CF1" w:rsidP="006E7A55">
      <w:pPr>
        <w:pStyle w:val="PLRBodyTextIndented"/>
        <w:keepNext/>
        <w:ind w:firstLine="0"/>
        <w:rPr>
          <w:rFonts w:ascii="Times New Roman" w:hAnsi="Times New Roman"/>
          <w:sz w:val="22"/>
        </w:rPr>
      </w:pPr>
    </w:p>
    <w:p w14:paraId="532AEB24" w14:textId="6974DB1E" w:rsidR="00F13CF1" w:rsidRPr="00642E07" w:rsidRDefault="00F13CF1" w:rsidP="006E7A55">
      <w:pPr>
        <w:pStyle w:val="PLRBodyTextIndented"/>
        <w:keepNext/>
        <w:ind w:firstLine="0"/>
        <w:rPr>
          <w:rFonts w:ascii="Times New Roman" w:hAnsi="Times New Roman"/>
          <w:b/>
          <w:bCs/>
          <w:sz w:val="22"/>
        </w:rPr>
      </w:pPr>
      <w:r w:rsidRPr="00642E07">
        <w:rPr>
          <w:rFonts w:ascii="Times New Roman" w:hAnsi="Times New Roman"/>
          <w:b/>
          <w:bCs/>
          <w:sz w:val="22"/>
        </w:rPr>
        <w:t xml:space="preserve">Figure 1 : </w:t>
      </w:r>
      <w:r w:rsidR="00313C92" w:rsidRPr="00642E07">
        <w:rPr>
          <w:rFonts w:ascii="Times New Roman" w:hAnsi="Times New Roman"/>
          <w:b/>
          <w:bCs/>
          <w:sz w:val="22"/>
        </w:rPr>
        <w:t>Courbe de Kaplan-Meier de la SSP évaluée par le CRI chez les patients atteints d’une LLC prétraitée par un inhibiteur de la BTK dans l’étude 20020</w:t>
      </w:r>
    </w:p>
    <w:p w14:paraId="24470DEE" w14:textId="77777777" w:rsidR="00313C92" w:rsidRDefault="00313C92" w:rsidP="006E7A55">
      <w:pPr>
        <w:pStyle w:val="PLRBodyTextIndented"/>
        <w:keepNext/>
        <w:ind w:firstLine="0"/>
        <w:rPr>
          <w:rFonts w:ascii="Times New Roman" w:hAnsi="Times New Roman"/>
          <w:sz w:val="22"/>
        </w:rPr>
      </w:pPr>
    </w:p>
    <w:p w14:paraId="7DCDE2FF" w14:textId="49CA4318" w:rsidR="00313C92" w:rsidRDefault="006364B9" w:rsidP="006E7A55">
      <w:pPr>
        <w:pStyle w:val="PLRBodyTextIndented"/>
        <w:keepNext/>
        <w:ind w:firstLine="0"/>
        <w:rPr>
          <w:rFonts w:ascii="Times New Roman" w:hAnsi="Times New Roman"/>
          <w:sz w:val="22"/>
        </w:rPr>
      </w:pPr>
      <w:r w:rsidRPr="006364B9">
        <w:rPr>
          <w:rFonts w:ascii="Times New Roman" w:hAnsi="Times New Roman"/>
          <w:noProof/>
          <w:sz w:val="22"/>
          <w:lang w:val="en-GB" w:eastAsia="en-GB"/>
        </w:rPr>
        <w:drawing>
          <wp:inline distT="0" distB="0" distL="0" distR="0" wp14:anchorId="6F7CC40C" wp14:editId="75197F81">
            <wp:extent cx="5760085" cy="3233420"/>
            <wp:effectExtent l="0" t="0" r="0" b="5080"/>
            <wp:docPr id="1269570710" name="Image 1" descr="Une image contenant texte, diagramme, lign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70710" name="Image 1" descr="Une image contenant texte, diagramme, ligne, Police&#10;&#10;Le contenu généré par l’IA peut être incorrect."/>
                    <pic:cNvPicPr/>
                  </pic:nvPicPr>
                  <pic:blipFill>
                    <a:blip r:embed="rId12"/>
                    <a:stretch>
                      <a:fillRect/>
                    </a:stretch>
                  </pic:blipFill>
                  <pic:spPr>
                    <a:xfrm>
                      <a:off x="0" y="0"/>
                      <a:ext cx="5760085" cy="3233420"/>
                    </a:xfrm>
                    <a:prstGeom prst="rect">
                      <a:avLst/>
                    </a:prstGeom>
                  </pic:spPr>
                </pic:pic>
              </a:graphicData>
            </a:graphic>
          </wp:inline>
        </w:drawing>
      </w:r>
    </w:p>
    <w:p w14:paraId="1973B3A8" w14:textId="77777777" w:rsidR="00C61C4E" w:rsidRDefault="00C61C4E" w:rsidP="006E7A55">
      <w:pPr>
        <w:pStyle w:val="PLRBodyTextIndented"/>
        <w:keepNext/>
        <w:ind w:firstLine="0"/>
        <w:rPr>
          <w:rFonts w:ascii="Times New Roman" w:hAnsi="Times New Roman"/>
          <w:sz w:val="22"/>
        </w:rPr>
      </w:pPr>
    </w:p>
    <w:p w14:paraId="767AFAAF" w14:textId="5CC069DC" w:rsidR="00B132F9" w:rsidRPr="00AD464F" w:rsidRDefault="00B11328" w:rsidP="006E7A55">
      <w:pPr>
        <w:pStyle w:val="PLRBodyTextIndented"/>
        <w:keepNext/>
        <w:ind w:firstLine="0"/>
        <w:rPr>
          <w:rFonts w:ascii="Times New Roman" w:hAnsi="Times New Roman"/>
          <w:sz w:val="22"/>
        </w:rPr>
      </w:pPr>
      <w:r w:rsidRPr="00B11328">
        <w:rPr>
          <w:rFonts w:ascii="Times New Roman" w:hAnsi="Times New Roman"/>
          <w:sz w:val="22"/>
        </w:rPr>
        <w:t xml:space="preserve">Avec une durée médiane de suivi de la survie globale (SG) de 20,4 mois pour le pirtobrutinib et de 19,2 mois dans le groupe au choix de l’investigateur, 38 patients (32,0 %) dans le groupe pirtobrutinib et 32 patients (27,0 %) dans le groupe au choix de l’investigateur sont décédés. La SG médiane était de 29,7 mois (IC à 95 % : 27,1, NE) dans le groupe pirtobrutinib et n’était pas atteinte dans le groupe </w:t>
      </w:r>
      <w:r w:rsidR="003F29F9">
        <w:rPr>
          <w:rFonts w:ascii="Times New Roman" w:hAnsi="Times New Roman"/>
          <w:sz w:val="22"/>
        </w:rPr>
        <w:t>au choix de</w:t>
      </w:r>
      <w:r w:rsidRPr="00B11328">
        <w:rPr>
          <w:rFonts w:ascii="Times New Roman" w:hAnsi="Times New Roman"/>
          <w:sz w:val="22"/>
        </w:rPr>
        <w:t xml:space="preserve"> l’investigateur. Le HR était de 1,090 (IC à 95 % : 0,679</w:t>
      </w:r>
      <w:r w:rsidR="00080F5F">
        <w:rPr>
          <w:rFonts w:ascii="Times New Roman" w:hAnsi="Times New Roman"/>
          <w:sz w:val="22"/>
        </w:rPr>
        <w:t> ;</w:t>
      </w:r>
      <w:r w:rsidRPr="00B11328">
        <w:rPr>
          <w:rFonts w:ascii="Times New Roman" w:hAnsi="Times New Roman"/>
          <w:sz w:val="22"/>
        </w:rPr>
        <w:t xml:space="preserve"> 1,749 ; p = 0,7202). L’analyse de la SG peut être faussée par le fait que 50 des 119 patients sont passés du groupe </w:t>
      </w:r>
      <w:r w:rsidR="00080F5F">
        <w:rPr>
          <w:rFonts w:ascii="Times New Roman" w:hAnsi="Times New Roman"/>
          <w:sz w:val="22"/>
        </w:rPr>
        <w:t>au choix de</w:t>
      </w:r>
      <w:r w:rsidRPr="00B11328">
        <w:rPr>
          <w:rFonts w:ascii="Times New Roman" w:hAnsi="Times New Roman"/>
          <w:sz w:val="22"/>
        </w:rPr>
        <w:t xml:space="preserve"> l’investigateur </w:t>
      </w:r>
      <w:r w:rsidR="00080F5F">
        <w:rPr>
          <w:rFonts w:ascii="Times New Roman" w:hAnsi="Times New Roman"/>
          <w:sz w:val="22"/>
        </w:rPr>
        <w:t>vers le</w:t>
      </w:r>
      <w:r w:rsidRPr="00B11328">
        <w:rPr>
          <w:rFonts w:ascii="Times New Roman" w:hAnsi="Times New Roman"/>
          <w:sz w:val="22"/>
        </w:rPr>
        <w:t xml:space="preserve"> pirtobrutinib.</w:t>
      </w:r>
    </w:p>
    <w:p w14:paraId="47A696F5" w14:textId="77777777" w:rsidR="009E5612" w:rsidRPr="00AD464F" w:rsidRDefault="009E5612" w:rsidP="00204AAB">
      <w:pPr>
        <w:autoSpaceDE w:val="0"/>
        <w:autoSpaceDN w:val="0"/>
        <w:adjustRightInd w:val="0"/>
        <w:spacing w:line="240" w:lineRule="auto"/>
        <w:rPr>
          <w:szCs w:val="22"/>
        </w:rPr>
      </w:pPr>
    </w:p>
    <w:p w14:paraId="1D1C15F4" w14:textId="1390100B" w:rsidR="00812D16" w:rsidRPr="00AD464F" w:rsidRDefault="00617FEB" w:rsidP="009377E5">
      <w:pPr>
        <w:keepNext/>
        <w:spacing w:line="240" w:lineRule="auto"/>
        <w:rPr>
          <w:bCs/>
          <w:iCs/>
          <w:szCs w:val="22"/>
        </w:rPr>
      </w:pPr>
      <w:r w:rsidRPr="00AD464F">
        <w:rPr>
          <w:u w:val="single"/>
        </w:rPr>
        <w:t>Population pédiatrique</w:t>
      </w:r>
    </w:p>
    <w:p w14:paraId="5982F886" w14:textId="77777777" w:rsidR="008D6BE8" w:rsidRPr="00AD464F" w:rsidRDefault="008D6BE8" w:rsidP="009377E5">
      <w:pPr>
        <w:keepNext/>
        <w:spacing w:line="240" w:lineRule="auto"/>
        <w:jc w:val="both"/>
        <w:rPr>
          <w:bCs/>
          <w:iCs/>
          <w:szCs w:val="22"/>
        </w:rPr>
      </w:pPr>
    </w:p>
    <w:p w14:paraId="10850014" w14:textId="6C7D088E" w:rsidR="008D6BE8" w:rsidRPr="00AD464F" w:rsidRDefault="00617FEB" w:rsidP="009377E5">
      <w:pPr>
        <w:keepNext/>
        <w:spacing w:line="240" w:lineRule="auto"/>
        <w:outlineLvl w:val="0"/>
        <w:rPr>
          <w:szCs w:val="22"/>
        </w:rPr>
      </w:pPr>
      <w:r w:rsidRPr="00AD464F">
        <w:t xml:space="preserve">L’Agence européenne des médicaments a </w:t>
      </w:r>
      <w:r w:rsidR="00890C0D">
        <w:t xml:space="preserve">accordé une dérogation à </w:t>
      </w:r>
      <w:r w:rsidRPr="00AD464F">
        <w:t>l’obligation de soumettre les résultats d’études réalisées avec Jaypirca dans tous les sous-groupes de la population pédiatrique dans les tumeurs malignes à cellules</w:t>
      </w:r>
      <w:r w:rsidR="00AC46F4">
        <w:t> </w:t>
      </w:r>
      <w:r w:rsidRPr="00AD464F">
        <w:t>B matures (voir rubrique</w:t>
      </w:r>
      <w:r w:rsidR="00AC46F4">
        <w:t> </w:t>
      </w:r>
      <w:r w:rsidRPr="00AD464F">
        <w:t>4.2 pour les informations concernant l’usage pédiatrique).</w:t>
      </w:r>
      <w:r w:rsidR="00E201DA">
        <w:fldChar w:fldCharType="begin"/>
      </w:r>
      <w:r w:rsidR="00E201DA">
        <w:instrText xml:space="preserve"> DOCVARIABLE vault_nd_c5210155-2178-4209-9b4a-6088c25d1315 \* MERGEFORMAT </w:instrText>
      </w:r>
      <w:r w:rsidR="00E201DA">
        <w:fldChar w:fldCharType="separate"/>
      </w:r>
      <w:r w:rsidR="00D944F9">
        <w:t xml:space="preserve"> </w:t>
      </w:r>
      <w:r w:rsidR="00E201DA">
        <w:fldChar w:fldCharType="end"/>
      </w:r>
    </w:p>
    <w:p w14:paraId="37CBE142" w14:textId="259F37F3" w:rsidR="001D32FA" w:rsidRPr="00AD464F" w:rsidRDefault="001D32FA" w:rsidP="00204AAB">
      <w:pPr>
        <w:spacing w:line="240" w:lineRule="auto"/>
        <w:outlineLvl w:val="0"/>
        <w:rPr>
          <w:szCs w:val="22"/>
        </w:rPr>
      </w:pPr>
    </w:p>
    <w:p w14:paraId="4EC50046" w14:textId="77777777" w:rsidR="00BC3D93" w:rsidRDefault="00BC3D93" w:rsidP="00BC3D93">
      <w:pPr>
        <w:numPr>
          <w:ilvl w:val="12"/>
          <w:numId w:val="0"/>
        </w:numPr>
        <w:spacing w:line="240" w:lineRule="auto"/>
        <w:ind w:right="-2"/>
        <w:rPr>
          <w:u w:val="single"/>
        </w:rPr>
      </w:pPr>
      <w:r>
        <w:rPr>
          <w:u w:val="single"/>
        </w:rPr>
        <w:t xml:space="preserve">Autorisation de mise sur le marché conditionnelle </w:t>
      </w:r>
    </w:p>
    <w:p w14:paraId="76A85E02" w14:textId="77777777" w:rsidR="00BC3D93" w:rsidRDefault="00BC3D93" w:rsidP="00BC3D93">
      <w:pPr>
        <w:numPr>
          <w:ilvl w:val="12"/>
          <w:numId w:val="0"/>
        </w:numPr>
        <w:spacing w:line="240" w:lineRule="auto"/>
        <w:ind w:right="-2"/>
      </w:pPr>
    </w:p>
    <w:p w14:paraId="342B781A" w14:textId="77777777" w:rsidR="00BC3D93" w:rsidRDefault="00BC3D93" w:rsidP="00BC3D93">
      <w:pPr>
        <w:numPr>
          <w:ilvl w:val="12"/>
          <w:numId w:val="0"/>
        </w:numPr>
        <w:spacing w:line="240" w:lineRule="auto"/>
        <w:ind w:right="-2"/>
      </w:pPr>
      <w:r>
        <w:t>Une autorisation de mise sur le marché « conditionnelle » a été délivrée pour ce médicament. Cela signifie que des preuves supplémentaires concernant ce médicament sont attendues.</w:t>
      </w:r>
    </w:p>
    <w:p w14:paraId="02AB3D37" w14:textId="77777777" w:rsidR="00BC3D93" w:rsidRDefault="00BC3D93" w:rsidP="00BC3D93">
      <w:pPr>
        <w:numPr>
          <w:ilvl w:val="12"/>
          <w:numId w:val="0"/>
        </w:numPr>
        <w:spacing w:line="240" w:lineRule="auto"/>
        <w:ind w:right="-2"/>
      </w:pPr>
      <w:r>
        <w:t>L’Agence européenne des médicaments réévaluera toute nouvelle information sur ce médicament au moins chaque année et, si nécessaire, ce RCP sera mis à jour.</w:t>
      </w:r>
    </w:p>
    <w:p w14:paraId="7E580A31" w14:textId="77777777" w:rsidR="00BC3D93" w:rsidRDefault="00BC3D93" w:rsidP="00BC3D93">
      <w:pPr>
        <w:numPr>
          <w:ilvl w:val="12"/>
          <w:numId w:val="0"/>
        </w:numPr>
        <w:spacing w:line="240" w:lineRule="auto"/>
        <w:ind w:right="-2"/>
      </w:pPr>
    </w:p>
    <w:p w14:paraId="128C083F" w14:textId="4A45B825" w:rsidR="00BC3D93" w:rsidRPr="00197209" w:rsidRDefault="00197209" w:rsidP="00197209">
      <w:pPr>
        <w:keepNext/>
        <w:spacing w:line="240" w:lineRule="auto"/>
        <w:ind w:left="567" w:hanging="567"/>
        <w:outlineLvl w:val="0"/>
        <w:rPr>
          <w:b/>
        </w:rPr>
      </w:pPr>
      <w:r>
        <w:rPr>
          <w:b/>
        </w:rPr>
        <w:t>5.2</w:t>
      </w:r>
      <w:r>
        <w:rPr>
          <w:b/>
        </w:rPr>
        <w:tab/>
      </w:r>
      <w:r w:rsidR="00BC3D93" w:rsidRPr="00197209">
        <w:rPr>
          <w:b/>
        </w:rPr>
        <w:t>Propriétés pharmacocinétiques</w:t>
      </w:r>
      <w:r w:rsidR="00D944F9">
        <w:rPr>
          <w:b/>
        </w:rPr>
        <w:fldChar w:fldCharType="begin"/>
      </w:r>
      <w:r w:rsidR="00D944F9">
        <w:rPr>
          <w:b/>
        </w:rPr>
        <w:instrText xml:space="preserve"> DOCVARIABLE vault_nd_3d86d96a-b08c-4ba4-a1f7-7ff35dfe3c0b \* MERGEFORMAT </w:instrText>
      </w:r>
      <w:r w:rsidR="00D944F9">
        <w:rPr>
          <w:b/>
        </w:rPr>
        <w:fldChar w:fldCharType="separate"/>
      </w:r>
      <w:r w:rsidR="00D944F9">
        <w:rPr>
          <w:b/>
        </w:rPr>
        <w:t xml:space="preserve"> </w:t>
      </w:r>
      <w:r w:rsidR="00D944F9">
        <w:rPr>
          <w:b/>
        </w:rPr>
        <w:fldChar w:fldCharType="end"/>
      </w:r>
    </w:p>
    <w:p w14:paraId="552C0D75" w14:textId="6EF6BEFB" w:rsidR="00812D16" w:rsidRPr="00AD464F" w:rsidRDefault="00812D16" w:rsidP="009377E5">
      <w:pPr>
        <w:keepNext/>
        <w:spacing w:line="240" w:lineRule="auto"/>
        <w:ind w:left="567" w:hanging="567"/>
        <w:outlineLvl w:val="0"/>
        <w:rPr>
          <w:b/>
          <w:noProof/>
          <w:szCs w:val="22"/>
        </w:rPr>
      </w:pPr>
    </w:p>
    <w:p w14:paraId="0BED06A4" w14:textId="56ECFB9A" w:rsidR="00C566D9" w:rsidRPr="00AD464F" w:rsidRDefault="00C566D9" w:rsidP="009377E5">
      <w:pPr>
        <w:keepNext/>
        <w:tabs>
          <w:tab w:val="clear" w:pos="567"/>
          <w:tab w:val="left" w:pos="0"/>
        </w:tabs>
        <w:spacing w:line="240" w:lineRule="auto"/>
        <w:outlineLvl w:val="0"/>
        <w:rPr>
          <w:bCs/>
          <w:noProof/>
          <w:szCs w:val="22"/>
        </w:rPr>
      </w:pPr>
      <w:r w:rsidRPr="00AD464F">
        <w:t xml:space="preserve">La pharmacocinétique du pirtobrutinib a été caractérisée chez des sujets sains et chez des patients </w:t>
      </w:r>
      <w:r w:rsidR="0072511E">
        <w:t>ayant un</w:t>
      </w:r>
      <w:r w:rsidRPr="00AD464F">
        <w:t xml:space="preserve"> cancer. Les doses allaient de 25 mg à 300 mg une fois par jour (0,125 à 1,5</w:t>
      </w:r>
      <w:r w:rsidR="00AC46F4">
        <w:t> </w:t>
      </w:r>
      <w:r w:rsidRPr="00AD464F">
        <w:t>fois la dose recommandée de 200 mg une fois par jour), jusqu</w:t>
      </w:r>
      <w:r w:rsidR="00AC46F4">
        <w:t>’</w:t>
      </w:r>
      <w:r w:rsidRPr="00AD464F">
        <w:t>à des doses uniques de 900 mg. Les augmentations de l</w:t>
      </w:r>
      <w:r w:rsidR="00AC46F4">
        <w:t>’</w:t>
      </w:r>
      <w:r w:rsidRPr="00AD464F">
        <w:t>exposition plasmatique étaient approximativement proportionnelles à la dose. L</w:t>
      </w:r>
      <w:r w:rsidR="00AC46F4">
        <w:t>’</w:t>
      </w:r>
      <w:r w:rsidRPr="00AD464F">
        <w:t>état d</w:t>
      </w:r>
      <w:r w:rsidR="00AC46F4">
        <w:t>’</w:t>
      </w:r>
      <w:r w:rsidRPr="00AD464F">
        <w:t>équilibre a été atteint dans les 5</w:t>
      </w:r>
      <w:r w:rsidR="00FE013C">
        <w:t> </w:t>
      </w:r>
      <w:r w:rsidRPr="00AD464F">
        <w:t>jours suivant l</w:t>
      </w:r>
      <w:r w:rsidR="00AC46F4">
        <w:t>’</w:t>
      </w:r>
      <w:r w:rsidRPr="00AD464F">
        <w:t xml:space="preserve">administration une fois par jour, et chez les patients </w:t>
      </w:r>
      <w:r w:rsidR="00794C11">
        <w:t>ayant un cancer</w:t>
      </w:r>
      <w:r w:rsidRPr="00AD464F">
        <w:t>, le rapport d</w:t>
      </w:r>
      <w:r w:rsidR="00AC46F4">
        <w:t>’</w:t>
      </w:r>
      <w:r w:rsidRPr="00AD464F">
        <w:t>accumulation moyen [coefficient de variation (CV %)] après l</w:t>
      </w:r>
      <w:r w:rsidR="00AC46F4">
        <w:t>’</w:t>
      </w:r>
      <w:r w:rsidRPr="00AD464F">
        <w:t>administration de 200 mg une fois par jour était de 1,63 (26,7 %) sur la base de l</w:t>
      </w:r>
      <w:r w:rsidR="00AC46F4">
        <w:t>’</w:t>
      </w:r>
      <w:r w:rsidRPr="00AD464F">
        <w:t>ASC.</w:t>
      </w:r>
      <w:r w:rsidR="001D4D4C">
        <w:t xml:space="preserve"> </w:t>
      </w:r>
      <w:r w:rsidR="00197209">
        <w:t xml:space="preserve">Trois </w:t>
      </w:r>
      <w:r w:rsidR="001D4D4C">
        <w:t xml:space="preserve">facteurs liés aux patients ont </w:t>
      </w:r>
      <w:r w:rsidR="001D4D4C" w:rsidRPr="001D4D4C">
        <w:t>été attribués aux modifications de la pharmacocinétique du pirtobrutinib : le poids corporel, l</w:t>
      </w:r>
      <w:r w:rsidR="00AC46F4">
        <w:t>’</w:t>
      </w:r>
      <w:r w:rsidR="001D4D4C" w:rsidRPr="001D4D4C">
        <w:t>albumine sérique et le DFGe absolu.</w:t>
      </w:r>
      <w:r w:rsidR="004F73A7">
        <w:t xml:space="preserve"> </w:t>
      </w:r>
      <w:r w:rsidR="004F73A7" w:rsidRPr="004F73A7">
        <w:t>Une augmentation du poids corporel de 70</w:t>
      </w:r>
      <w:r w:rsidR="00AC46F4">
        <w:t> </w:t>
      </w:r>
      <w:r w:rsidR="004F73A7" w:rsidRPr="004F73A7">
        <w:t>kg à 120</w:t>
      </w:r>
      <w:r w:rsidR="00AC46F4">
        <w:t> </w:t>
      </w:r>
      <w:r w:rsidR="004F73A7" w:rsidRPr="004F73A7">
        <w:t xml:space="preserve">kg </w:t>
      </w:r>
      <w:r w:rsidR="00FA2AE5">
        <w:t xml:space="preserve">est </w:t>
      </w:r>
      <w:r w:rsidR="008C6546">
        <w:t>prédictive</w:t>
      </w:r>
      <w:r w:rsidR="00FA2AE5">
        <w:t xml:space="preserve"> d’une augmentation</w:t>
      </w:r>
      <w:r w:rsidR="004F73A7" w:rsidRPr="004F73A7">
        <w:t xml:space="preserve"> </w:t>
      </w:r>
      <w:r w:rsidR="008C6546">
        <w:t>de</w:t>
      </w:r>
      <w:r w:rsidR="004F73A7" w:rsidRPr="004F73A7">
        <w:t xml:space="preserve"> la clairance du pirtobrutinib de 24</w:t>
      </w:r>
      <w:r w:rsidR="00AC46F4">
        <w:t> </w:t>
      </w:r>
      <w:r w:rsidR="004F73A7" w:rsidRPr="004F73A7">
        <w:t>% ; une diminution du DFGe absolu de 90</w:t>
      </w:r>
      <w:r w:rsidR="00AC46F4">
        <w:t> </w:t>
      </w:r>
      <w:r w:rsidR="00AC46F4" w:rsidRPr="004F73A7">
        <w:t>m</w:t>
      </w:r>
      <w:r w:rsidR="00AC46F4">
        <w:t>L</w:t>
      </w:r>
      <w:r w:rsidR="004F73A7" w:rsidRPr="004F73A7">
        <w:t>/min à 30</w:t>
      </w:r>
      <w:r w:rsidR="00C35B67">
        <w:t> </w:t>
      </w:r>
      <w:r w:rsidR="00AC46F4" w:rsidRPr="004F73A7">
        <w:t>m</w:t>
      </w:r>
      <w:r w:rsidR="00AC46F4">
        <w:t>L</w:t>
      </w:r>
      <w:r w:rsidR="004F73A7" w:rsidRPr="004F73A7">
        <w:t>/min devrait réduire la clairance du pirtobrutinib de 16</w:t>
      </w:r>
      <w:r w:rsidR="00AC46F4">
        <w:t> </w:t>
      </w:r>
      <w:r w:rsidR="004F73A7" w:rsidRPr="004F73A7">
        <w:t>% ; et une diminution de l</w:t>
      </w:r>
      <w:r w:rsidR="00AC46F4">
        <w:t>’</w:t>
      </w:r>
      <w:r w:rsidR="004F73A7" w:rsidRPr="004F73A7">
        <w:t>albumine sérique de 40</w:t>
      </w:r>
      <w:r w:rsidR="00AC46F4">
        <w:t> </w:t>
      </w:r>
      <w:r w:rsidR="004F73A7" w:rsidRPr="004F73A7">
        <w:t>g/</w:t>
      </w:r>
      <w:r w:rsidR="00AC46F4">
        <w:t>L</w:t>
      </w:r>
      <w:r w:rsidR="00AC46F4" w:rsidRPr="004F73A7">
        <w:t xml:space="preserve"> </w:t>
      </w:r>
      <w:r w:rsidR="004F73A7" w:rsidRPr="004F73A7">
        <w:t>à 30</w:t>
      </w:r>
      <w:r w:rsidR="00AC46F4">
        <w:t> </w:t>
      </w:r>
      <w:r w:rsidR="004F73A7" w:rsidRPr="004F73A7">
        <w:t>g/</w:t>
      </w:r>
      <w:r w:rsidR="00AC46F4">
        <w:t>L</w:t>
      </w:r>
      <w:r w:rsidR="00AC46F4" w:rsidRPr="004F73A7">
        <w:t xml:space="preserve"> </w:t>
      </w:r>
      <w:r w:rsidR="004F73A7" w:rsidRPr="004F73A7">
        <w:t>devrait augmenter la clairance du pirtobrutinib de 21</w:t>
      </w:r>
      <w:r w:rsidR="00AC46F4">
        <w:t> </w:t>
      </w:r>
      <w:r w:rsidR="004F73A7" w:rsidRPr="004F73A7">
        <w:t>%.</w:t>
      </w:r>
      <w:r w:rsidR="001D4D4C" w:rsidRPr="001D4D4C">
        <w:t xml:space="preserve"> </w:t>
      </w:r>
      <w:r w:rsidR="00BB6218">
        <w:t>Il est peu probable que c</w:t>
      </w:r>
      <w:r w:rsidR="001D4D4C" w:rsidRPr="001D4D4C">
        <w:t>es facteurs seuls entraînent de</w:t>
      </w:r>
      <w:r w:rsidR="00CE2CDB">
        <w:t>s</w:t>
      </w:r>
      <w:r w:rsidR="001D4D4C" w:rsidRPr="001D4D4C">
        <w:t xml:space="preserve"> modifications significatives de la pharmacocinétique du pirtobrutinib et aucun ajustement posologique n</w:t>
      </w:r>
      <w:r w:rsidR="00AC46F4">
        <w:t>’</w:t>
      </w:r>
      <w:r w:rsidR="001D4D4C" w:rsidRPr="001D4D4C">
        <w:t>est recommandé.</w:t>
      </w:r>
      <w:r w:rsidR="00E201DA">
        <w:fldChar w:fldCharType="begin"/>
      </w:r>
      <w:r w:rsidR="00E201DA">
        <w:instrText xml:space="preserve"> DOCVARIABLE vault_nd_b5438d34-b5b7-41b8-a66f-c5417feb453e \* MER</w:instrText>
      </w:r>
      <w:r w:rsidR="00E201DA">
        <w:instrText xml:space="preserve">GEFORMAT </w:instrText>
      </w:r>
      <w:r w:rsidR="00E201DA">
        <w:fldChar w:fldCharType="separate"/>
      </w:r>
      <w:r w:rsidR="00D944F9">
        <w:t xml:space="preserve"> </w:t>
      </w:r>
      <w:r w:rsidR="00E201DA">
        <w:fldChar w:fldCharType="end"/>
      </w:r>
    </w:p>
    <w:p w14:paraId="6C5BE55A" w14:textId="77777777" w:rsidR="00F90917" w:rsidRPr="00AD464F" w:rsidRDefault="00F90917" w:rsidP="00C566D9">
      <w:pPr>
        <w:tabs>
          <w:tab w:val="clear" w:pos="567"/>
          <w:tab w:val="left" w:pos="0"/>
        </w:tabs>
        <w:spacing w:line="240" w:lineRule="auto"/>
        <w:outlineLvl w:val="0"/>
        <w:rPr>
          <w:bCs/>
          <w:noProof/>
          <w:szCs w:val="22"/>
        </w:rPr>
      </w:pPr>
    </w:p>
    <w:p w14:paraId="6B4A358E" w14:textId="7DFFD4BD" w:rsidR="00C566D9" w:rsidRPr="00AD464F" w:rsidRDefault="00C566D9" w:rsidP="00C566D9">
      <w:pPr>
        <w:tabs>
          <w:tab w:val="clear" w:pos="567"/>
          <w:tab w:val="left" w:pos="0"/>
        </w:tabs>
        <w:spacing w:line="240" w:lineRule="auto"/>
        <w:outlineLvl w:val="0"/>
        <w:rPr>
          <w:szCs w:val="22"/>
        </w:rPr>
      </w:pPr>
      <w:r w:rsidRPr="00AD464F">
        <w:t>L</w:t>
      </w:r>
      <w:r w:rsidR="0062464D">
        <w:t>’</w:t>
      </w:r>
      <w:r w:rsidRPr="00AD464F">
        <w:t>ASC et la C</w:t>
      </w:r>
      <w:r w:rsidRPr="00AD464F">
        <w:rPr>
          <w:vertAlign w:val="subscript"/>
        </w:rPr>
        <w:t>max</w:t>
      </w:r>
      <w:r w:rsidRPr="00AD464F">
        <w:t xml:space="preserve"> moyennes (CV %) à l</w:t>
      </w:r>
      <w:r w:rsidR="0062464D">
        <w:t>’</w:t>
      </w:r>
      <w:r w:rsidRPr="00AD464F">
        <w:t>état d</w:t>
      </w:r>
      <w:r w:rsidR="0062464D">
        <w:t>’</w:t>
      </w:r>
      <w:r w:rsidRPr="00AD464F">
        <w:t xml:space="preserve">équilibre étaient de </w:t>
      </w:r>
      <w:r w:rsidR="00E72099">
        <w:t>92 600</w:t>
      </w:r>
      <w:r w:rsidR="00F80849" w:rsidRPr="00AD464F">
        <w:t> </w:t>
      </w:r>
      <w:r w:rsidRPr="00AD464F">
        <w:t>h*ng/mL (</w:t>
      </w:r>
      <w:r w:rsidR="00E72099">
        <w:t>39</w:t>
      </w:r>
      <w:r w:rsidRPr="00AD464F">
        <w:t xml:space="preserve"> %) et </w:t>
      </w:r>
      <w:r w:rsidR="00FE013C">
        <w:t xml:space="preserve">de </w:t>
      </w:r>
      <w:r w:rsidR="00FB5078">
        <w:t>6 500</w:t>
      </w:r>
      <w:r w:rsidRPr="00AD464F">
        <w:t> ng/mL (</w:t>
      </w:r>
      <w:r w:rsidR="00FB5078">
        <w:t>25</w:t>
      </w:r>
      <w:r w:rsidRPr="00AD464F">
        <w:t xml:space="preserve"> %), respectivement, à la posologie recommandée de 200 mg une fois par jour chez les patients </w:t>
      </w:r>
      <w:r w:rsidR="002D60DE">
        <w:t>ayant un</w:t>
      </w:r>
      <w:r w:rsidRPr="00AD464F">
        <w:t xml:space="preserve"> cancer.</w:t>
      </w:r>
      <w:r w:rsidR="00E201DA">
        <w:fldChar w:fldCharType="begin"/>
      </w:r>
      <w:r w:rsidR="00E201DA">
        <w:instrText xml:space="preserve"> DOCVARIABLE vault_nd_3531a865-c5fa-448a-a048-c2999c541f2d \* MERGEFORMAT </w:instrText>
      </w:r>
      <w:r w:rsidR="00E201DA">
        <w:fldChar w:fldCharType="separate"/>
      </w:r>
      <w:r w:rsidR="00AD464F" w:rsidRPr="00AD464F">
        <w:t xml:space="preserve"> </w:t>
      </w:r>
      <w:r w:rsidR="00E201DA">
        <w:fldChar w:fldCharType="end"/>
      </w:r>
    </w:p>
    <w:p w14:paraId="69E31A27" w14:textId="77777777" w:rsidR="00A301D4" w:rsidRPr="00AD464F" w:rsidRDefault="00A301D4" w:rsidP="00C566D9">
      <w:pPr>
        <w:tabs>
          <w:tab w:val="clear" w:pos="567"/>
          <w:tab w:val="left" w:pos="0"/>
        </w:tabs>
        <w:spacing w:line="240" w:lineRule="auto"/>
        <w:outlineLvl w:val="0"/>
        <w:rPr>
          <w:szCs w:val="22"/>
        </w:rPr>
      </w:pPr>
    </w:p>
    <w:p w14:paraId="7D088D2B" w14:textId="128BF3EA" w:rsidR="00A236AE" w:rsidRPr="00AD464F" w:rsidRDefault="00A236AE" w:rsidP="00A236AE">
      <w:pPr>
        <w:keepNext/>
        <w:autoSpaceDE w:val="0"/>
        <w:autoSpaceDN w:val="0"/>
        <w:adjustRightInd w:val="0"/>
        <w:spacing w:line="240" w:lineRule="auto"/>
        <w:rPr>
          <w:szCs w:val="22"/>
        </w:rPr>
      </w:pPr>
      <w:r w:rsidRPr="00AD464F">
        <w:t>À la posologie recommandée, le pirtobrutinib atteint des expositions pharmacocinétiques qui peuvent dépasser la valeur BTK</w:t>
      </w:r>
      <w:r w:rsidR="0062464D">
        <w:t> </w:t>
      </w:r>
      <w:r w:rsidRPr="00AD464F">
        <w:t>IC</w:t>
      </w:r>
      <w:r w:rsidRPr="00AD464F">
        <w:rPr>
          <w:vertAlign w:val="subscript"/>
        </w:rPr>
        <w:t>96</w:t>
      </w:r>
      <w:r w:rsidRPr="00AD464F">
        <w:t xml:space="preserve"> minimale et par conséquent, assurer une inhibition tonique de la cible BTK pendant toute la période d</w:t>
      </w:r>
      <w:r w:rsidR="0062464D">
        <w:t>’</w:t>
      </w:r>
      <w:r w:rsidRPr="00AD464F">
        <w:t>administration d</w:t>
      </w:r>
      <w:r w:rsidR="0062464D">
        <w:t>’</w:t>
      </w:r>
      <w:r w:rsidRPr="00AD464F">
        <w:t xml:space="preserve">une dose </w:t>
      </w:r>
      <w:r w:rsidR="002D60DE">
        <w:t>une fois par jour</w:t>
      </w:r>
      <w:r w:rsidRPr="00AD464F">
        <w:t>, indépendamment du taux intrinsèque de renouvellement de BTK.</w:t>
      </w:r>
    </w:p>
    <w:p w14:paraId="4BB55CCA" w14:textId="77777777" w:rsidR="00A6716A" w:rsidRDefault="00A6716A" w:rsidP="009377E5">
      <w:pPr>
        <w:keepNext/>
        <w:numPr>
          <w:ilvl w:val="12"/>
          <w:numId w:val="0"/>
        </w:numPr>
        <w:spacing w:line="240" w:lineRule="auto"/>
        <w:ind w:right="-2"/>
        <w:rPr>
          <w:u w:val="single"/>
        </w:rPr>
      </w:pPr>
    </w:p>
    <w:p w14:paraId="160D3233" w14:textId="327B9FFC" w:rsidR="00812D16" w:rsidRPr="00AD464F" w:rsidRDefault="00617FEB" w:rsidP="009377E5">
      <w:pPr>
        <w:keepNext/>
        <w:numPr>
          <w:ilvl w:val="12"/>
          <w:numId w:val="0"/>
        </w:numPr>
        <w:spacing w:line="240" w:lineRule="auto"/>
        <w:ind w:right="-2"/>
        <w:rPr>
          <w:u w:val="single"/>
        </w:rPr>
      </w:pPr>
      <w:r w:rsidRPr="00AD464F">
        <w:rPr>
          <w:u w:val="single"/>
        </w:rPr>
        <w:t>Absorption</w:t>
      </w:r>
    </w:p>
    <w:p w14:paraId="11A57ED7" w14:textId="77777777" w:rsidR="002E76E7" w:rsidRPr="00AD464F" w:rsidRDefault="002E76E7" w:rsidP="009377E5">
      <w:pPr>
        <w:keepNext/>
        <w:numPr>
          <w:ilvl w:val="12"/>
          <w:numId w:val="0"/>
        </w:numPr>
        <w:spacing w:line="240" w:lineRule="auto"/>
        <w:ind w:right="-2"/>
        <w:rPr>
          <w:u w:val="single"/>
        </w:rPr>
      </w:pPr>
    </w:p>
    <w:p w14:paraId="65E209EE" w14:textId="1E1921D1" w:rsidR="002E76E7" w:rsidRPr="00AD464F" w:rsidRDefault="002E76E7" w:rsidP="009377E5">
      <w:pPr>
        <w:keepNext/>
        <w:numPr>
          <w:ilvl w:val="12"/>
          <w:numId w:val="0"/>
        </w:numPr>
        <w:spacing w:line="240" w:lineRule="auto"/>
        <w:ind w:right="-2"/>
      </w:pPr>
      <w:r w:rsidRPr="00AD464F">
        <w:t>La biodisponibilité absolue du pirtobrutinib après une dose orale unique de 200 mg est de 85,5 % chez les sujets sains. Le temps médian pour atteindre la concentration plasmatique maximale (t</w:t>
      </w:r>
      <w:r w:rsidRPr="00AD464F">
        <w:rPr>
          <w:vertAlign w:val="subscript"/>
        </w:rPr>
        <w:t>max</w:t>
      </w:r>
      <w:r w:rsidRPr="00AD464F">
        <w:t>) est d</w:t>
      </w:r>
      <w:r w:rsidR="0062464D">
        <w:t>’</w:t>
      </w:r>
      <w:r w:rsidRPr="00AD464F">
        <w:t xml:space="preserve">environ 2 heures à la fois chez les patients </w:t>
      </w:r>
      <w:r w:rsidR="00F2167B">
        <w:t xml:space="preserve">ayant un </w:t>
      </w:r>
      <w:r w:rsidRPr="00AD464F">
        <w:t>cancer et les sujets sains. L’absorption n’est pas pH-dépendante.</w:t>
      </w:r>
    </w:p>
    <w:p w14:paraId="5EDA794B" w14:textId="77777777" w:rsidR="002E76E7" w:rsidRPr="00AD464F" w:rsidRDefault="002E76E7" w:rsidP="002E76E7">
      <w:pPr>
        <w:numPr>
          <w:ilvl w:val="12"/>
          <w:numId w:val="0"/>
        </w:numPr>
        <w:spacing w:line="240" w:lineRule="auto"/>
        <w:ind w:right="-2"/>
      </w:pPr>
    </w:p>
    <w:p w14:paraId="2BA3CCBE" w14:textId="4B3B374C" w:rsidR="002E76E7" w:rsidRPr="00AD464F" w:rsidRDefault="002E76E7" w:rsidP="009377E5">
      <w:pPr>
        <w:keepNext/>
        <w:numPr>
          <w:ilvl w:val="12"/>
          <w:numId w:val="0"/>
        </w:numPr>
        <w:spacing w:line="240" w:lineRule="auto"/>
        <w:ind w:right="-2"/>
        <w:rPr>
          <w:i/>
          <w:u w:val="single"/>
        </w:rPr>
      </w:pPr>
      <w:r w:rsidRPr="00AD464F">
        <w:rPr>
          <w:i/>
        </w:rPr>
        <w:t>Effet des aliments</w:t>
      </w:r>
    </w:p>
    <w:p w14:paraId="4BE92616" w14:textId="4532FF2E" w:rsidR="001168A0" w:rsidRPr="00AD464F" w:rsidRDefault="00F9331E" w:rsidP="009377E5">
      <w:pPr>
        <w:keepNext/>
        <w:numPr>
          <w:ilvl w:val="12"/>
          <w:numId w:val="0"/>
        </w:numPr>
        <w:spacing w:line="240" w:lineRule="auto"/>
        <w:ind w:right="-2"/>
      </w:pPr>
      <w:r>
        <w:t>La prise</w:t>
      </w:r>
      <w:r w:rsidRPr="00AD464F">
        <w:t xml:space="preserve"> </w:t>
      </w:r>
      <w:r w:rsidR="00950410" w:rsidRPr="00AD464F">
        <w:t xml:space="preserve">d’un repas riche en matières grasses et à forte teneur en calories </w:t>
      </w:r>
      <w:r>
        <w:t>par</w:t>
      </w:r>
      <w:r w:rsidR="00950410" w:rsidRPr="00AD464F">
        <w:t xml:space="preserve"> des sujets sains a diminué de 23 % la C</w:t>
      </w:r>
      <w:r w:rsidR="00950410" w:rsidRPr="00AD464F">
        <w:rPr>
          <w:vertAlign w:val="subscript"/>
        </w:rPr>
        <w:t>max</w:t>
      </w:r>
      <w:r w:rsidR="00950410" w:rsidRPr="00AD464F">
        <w:t xml:space="preserve"> du pirtobrutinib et a retardé le t</w:t>
      </w:r>
      <w:r w:rsidR="00950410" w:rsidRPr="00AD464F">
        <w:rPr>
          <w:vertAlign w:val="subscript"/>
        </w:rPr>
        <w:t>max</w:t>
      </w:r>
      <w:r w:rsidR="00950410" w:rsidRPr="00AD464F">
        <w:t xml:space="preserve"> de 1 heure. Aucun effet n’a été observé sur l</w:t>
      </w:r>
      <w:r w:rsidR="0062464D">
        <w:t>’</w:t>
      </w:r>
      <w:r w:rsidR="00950410" w:rsidRPr="00AD464F">
        <w:t>ASC du pirtobrutinib. Le pirtobrutinib peut être pris avec ou sans aliments.</w:t>
      </w:r>
    </w:p>
    <w:p w14:paraId="68BC67AC" w14:textId="11D827F0" w:rsidR="001168A0" w:rsidRPr="00AD464F" w:rsidRDefault="001168A0" w:rsidP="00950410">
      <w:pPr>
        <w:numPr>
          <w:ilvl w:val="12"/>
          <w:numId w:val="0"/>
        </w:numPr>
        <w:spacing w:line="240" w:lineRule="auto"/>
        <w:ind w:right="-2"/>
      </w:pPr>
    </w:p>
    <w:p w14:paraId="134B8933" w14:textId="46EB7ECE" w:rsidR="00812D16" w:rsidRPr="00AD464F" w:rsidRDefault="00617FEB" w:rsidP="009377E5">
      <w:pPr>
        <w:keepNext/>
        <w:numPr>
          <w:ilvl w:val="12"/>
          <w:numId w:val="0"/>
        </w:numPr>
        <w:spacing w:line="240" w:lineRule="auto"/>
        <w:ind w:right="-2"/>
        <w:rPr>
          <w:u w:val="single"/>
        </w:rPr>
      </w:pPr>
      <w:r w:rsidRPr="00AD464F">
        <w:rPr>
          <w:u w:val="single"/>
        </w:rPr>
        <w:t>Distribution</w:t>
      </w:r>
    </w:p>
    <w:p w14:paraId="536C7B3A" w14:textId="77777777" w:rsidR="00416FA2" w:rsidRPr="00AD464F" w:rsidRDefault="00416FA2" w:rsidP="009377E5">
      <w:pPr>
        <w:keepNext/>
        <w:numPr>
          <w:ilvl w:val="12"/>
          <w:numId w:val="0"/>
        </w:numPr>
        <w:spacing w:line="240" w:lineRule="auto"/>
        <w:ind w:right="-2"/>
        <w:rPr>
          <w:u w:val="single"/>
        </w:rPr>
      </w:pPr>
    </w:p>
    <w:p w14:paraId="6E80C316" w14:textId="5A915E5B" w:rsidR="002E76E7" w:rsidRPr="00AD464F" w:rsidRDefault="002E76E7" w:rsidP="009377E5">
      <w:pPr>
        <w:keepNext/>
        <w:numPr>
          <w:ilvl w:val="12"/>
          <w:numId w:val="0"/>
        </w:numPr>
        <w:spacing w:line="240" w:lineRule="auto"/>
        <w:ind w:right="-2"/>
      </w:pPr>
      <w:r w:rsidRPr="00AD464F">
        <w:t xml:space="preserve">Le volume de distribution apparent central moyen du pirtobrutinib est de </w:t>
      </w:r>
      <w:r w:rsidR="0042662D">
        <w:t>34,2</w:t>
      </w:r>
      <w:r w:rsidRPr="00AD464F">
        <w:t xml:space="preserve"> L chez les patients </w:t>
      </w:r>
      <w:r w:rsidR="00C749A8">
        <w:t xml:space="preserve">ayant un </w:t>
      </w:r>
      <w:r w:rsidRPr="00AD464F">
        <w:t xml:space="preserve">cancer. La liaison aux protéines plasmatiques est de 96 % et s’est avérée indépendante de la concentration entre 0,5 et 50 µM. Dans le plasma de sujets sains et de sujets </w:t>
      </w:r>
      <w:r w:rsidR="00C90981">
        <w:t xml:space="preserve">ayant une </w:t>
      </w:r>
      <w:r w:rsidRPr="00AD464F">
        <w:t>insuffisance rénale sévère, la liaison aux protéines était de 96 %. Le rapport moyen sang/plasma est de 0,79.</w:t>
      </w:r>
    </w:p>
    <w:p w14:paraId="77E17619" w14:textId="1F7C86CF" w:rsidR="002E76E7" w:rsidRPr="00AD464F" w:rsidRDefault="002E76E7" w:rsidP="00204AAB">
      <w:pPr>
        <w:numPr>
          <w:ilvl w:val="12"/>
          <w:numId w:val="0"/>
        </w:numPr>
        <w:spacing w:line="240" w:lineRule="auto"/>
        <w:ind w:right="-2"/>
      </w:pPr>
    </w:p>
    <w:p w14:paraId="53DB259E" w14:textId="30241C18" w:rsidR="00812D16" w:rsidRPr="00AD464F" w:rsidRDefault="00617FEB" w:rsidP="009377E5">
      <w:pPr>
        <w:keepNext/>
        <w:numPr>
          <w:ilvl w:val="12"/>
          <w:numId w:val="0"/>
        </w:numPr>
        <w:spacing w:line="240" w:lineRule="auto"/>
        <w:ind w:right="-2"/>
        <w:rPr>
          <w:u w:val="single"/>
        </w:rPr>
      </w:pPr>
      <w:r w:rsidRPr="005D72DE">
        <w:rPr>
          <w:u w:val="single"/>
        </w:rPr>
        <w:t>Biotransformation</w:t>
      </w:r>
    </w:p>
    <w:p w14:paraId="74569F61" w14:textId="77777777" w:rsidR="007B282F" w:rsidRPr="00AD464F" w:rsidRDefault="007B282F" w:rsidP="009377E5">
      <w:pPr>
        <w:keepNext/>
        <w:numPr>
          <w:ilvl w:val="12"/>
          <w:numId w:val="0"/>
        </w:numPr>
        <w:spacing w:line="240" w:lineRule="auto"/>
        <w:ind w:right="-2"/>
        <w:rPr>
          <w:u w:val="single"/>
        </w:rPr>
      </w:pPr>
    </w:p>
    <w:p w14:paraId="05E67F93" w14:textId="54B6F731" w:rsidR="00C96E84" w:rsidRPr="00AD464F" w:rsidRDefault="009F2CB1" w:rsidP="00DA3AA5">
      <w:pPr>
        <w:keepNext/>
        <w:numPr>
          <w:ilvl w:val="12"/>
          <w:numId w:val="0"/>
        </w:numPr>
        <w:spacing w:line="240" w:lineRule="auto"/>
        <w:ind w:right="-2"/>
      </w:pPr>
      <w:r w:rsidRPr="00AD464F">
        <w:t xml:space="preserve">Le métabolisme hépatique est la principale voie </w:t>
      </w:r>
      <w:r w:rsidR="001C776A">
        <w:t>d’élimination</w:t>
      </w:r>
      <w:r w:rsidRPr="00AD464F">
        <w:t xml:space="preserve"> du pirtobrutinib. Le pirtobrutinib est métabolisé en plusieurs métabolites inactifs par les CYP3A4, UGT1A8 et UGT1A9. Il n’a été observé aucun impact cliniquement significatif de la modulation du CYP3A sur les expositions au pirtobrutinib. </w:t>
      </w:r>
    </w:p>
    <w:p w14:paraId="5A238C39" w14:textId="77777777" w:rsidR="00C96E84" w:rsidRPr="00AD464F" w:rsidRDefault="00C96E84" w:rsidP="00C96E84">
      <w:pPr>
        <w:numPr>
          <w:ilvl w:val="12"/>
          <w:numId w:val="0"/>
        </w:numPr>
        <w:spacing w:line="240" w:lineRule="auto"/>
        <w:ind w:right="-2"/>
      </w:pPr>
    </w:p>
    <w:p w14:paraId="76B8D6E8" w14:textId="728358F4" w:rsidR="00C96E84" w:rsidRDefault="00C96E84" w:rsidP="00C96E84">
      <w:pPr>
        <w:numPr>
          <w:ilvl w:val="12"/>
          <w:numId w:val="0"/>
        </w:numPr>
        <w:spacing w:line="240" w:lineRule="auto"/>
        <w:ind w:right="-2"/>
      </w:pPr>
      <w:r w:rsidRPr="00AD464F">
        <w:t xml:space="preserve">Le pirtobrutinib inhibe les CYP2C8, CYP2C9 et CYP3A4 </w:t>
      </w:r>
      <w:r w:rsidRPr="00AD464F">
        <w:rPr>
          <w:i/>
        </w:rPr>
        <w:t>in vitro</w:t>
      </w:r>
      <w:r w:rsidRPr="00AD464F">
        <w:t xml:space="preserve"> et inhibe de manière minimale les CYP1A2, CYP2B6, CYP2C19 ou CYP2D6 à 60 µM. Le pirtobrutinib </w:t>
      </w:r>
      <w:r w:rsidRPr="00AD464F">
        <w:rPr>
          <w:i/>
        </w:rPr>
        <w:t>in vitro</w:t>
      </w:r>
      <w:r w:rsidRPr="00AD464F">
        <w:t xml:space="preserve"> induit les CYP3A4, CYP3A5, CYP2C19 et CYP2B6. </w:t>
      </w:r>
    </w:p>
    <w:p w14:paraId="33F88001" w14:textId="5F536779" w:rsidR="00F832E0" w:rsidRDefault="00F832E0" w:rsidP="00C96E84">
      <w:pPr>
        <w:numPr>
          <w:ilvl w:val="12"/>
          <w:numId w:val="0"/>
        </w:numPr>
        <w:spacing w:line="240" w:lineRule="auto"/>
        <w:ind w:right="-2"/>
      </w:pPr>
    </w:p>
    <w:p w14:paraId="1DB5873E" w14:textId="1BACB173" w:rsidR="00F832E0" w:rsidRPr="009B23C4" w:rsidRDefault="00F832E0" w:rsidP="00C96E84">
      <w:pPr>
        <w:numPr>
          <w:ilvl w:val="12"/>
          <w:numId w:val="0"/>
        </w:numPr>
        <w:spacing w:line="240" w:lineRule="auto"/>
        <w:ind w:right="-2"/>
      </w:pPr>
      <w:r>
        <w:t xml:space="preserve">Le pirtobrutinib inhibe </w:t>
      </w:r>
      <w:r w:rsidR="00D92077">
        <w:t>de manière minimale l’UGT</w:t>
      </w:r>
      <w:r w:rsidR="009B23C4">
        <w:t xml:space="preserve">1A1 </w:t>
      </w:r>
      <w:r w:rsidR="009B23C4">
        <w:rPr>
          <w:i/>
          <w:iCs/>
        </w:rPr>
        <w:t>in vitro</w:t>
      </w:r>
      <w:r w:rsidR="009B23C4">
        <w:t xml:space="preserve"> avec u</w:t>
      </w:r>
      <w:r w:rsidR="00951D9C">
        <w:t>ne IC50</w:t>
      </w:r>
      <w:r w:rsidR="0062464D">
        <w:t> </w:t>
      </w:r>
      <w:r w:rsidR="00EA1D0B">
        <w:t>=</w:t>
      </w:r>
      <w:r w:rsidR="0062464D">
        <w:t> </w:t>
      </w:r>
      <w:r w:rsidR="00EA1D0B">
        <w:t>18</w:t>
      </w:r>
      <w:r w:rsidR="00F3436F">
        <w:t> </w:t>
      </w:r>
      <w:r w:rsidR="00EA1D0B" w:rsidRPr="00AD464F">
        <w:t>µM</w:t>
      </w:r>
      <w:r w:rsidR="00EA1D0B">
        <w:t>.</w:t>
      </w:r>
    </w:p>
    <w:p w14:paraId="17126BE3" w14:textId="77777777" w:rsidR="00C96E84" w:rsidRPr="00AD464F" w:rsidRDefault="00C96E84" w:rsidP="00C96E84">
      <w:pPr>
        <w:numPr>
          <w:ilvl w:val="12"/>
          <w:numId w:val="0"/>
        </w:numPr>
        <w:spacing w:line="240" w:lineRule="auto"/>
        <w:ind w:right="-2"/>
      </w:pPr>
    </w:p>
    <w:p w14:paraId="71495662" w14:textId="5A6FDA5D" w:rsidR="00086011" w:rsidRPr="00AD464F" w:rsidRDefault="00086011" w:rsidP="009377E5">
      <w:pPr>
        <w:keepNext/>
        <w:spacing w:line="240" w:lineRule="auto"/>
        <w:rPr>
          <w:i/>
        </w:rPr>
      </w:pPr>
      <w:r w:rsidRPr="00AD464F">
        <w:rPr>
          <w:i/>
        </w:rPr>
        <w:t xml:space="preserve">Co-administration avec des substrats/inhibiteurs de transporteur </w:t>
      </w:r>
    </w:p>
    <w:p w14:paraId="2583D29B" w14:textId="0E91695D" w:rsidR="00086011" w:rsidRPr="00AD464F" w:rsidRDefault="00086011" w:rsidP="225072D1">
      <w:pPr>
        <w:keepNext/>
        <w:spacing w:line="240" w:lineRule="auto"/>
        <w:ind w:right="-2"/>
        <w:rPr>
          <w:rStyle w:val="Verwijzingopmerking"/>
        </w:rPr>
      </w:pPr>
      <w:r w:rsidRPr="00AD464F">
        <w:t xml:space="preserve">Des études </w:t>
      </w:r>
      <w:r w:rsidRPr="00AD464F">
        <w:rPr>
          <w:i/>
        </w:rPr>
        <w:t>in vitro</w:t>
      </w:r>
      <w:r w:rsidRPr="00AD464F">
        <w:t xml:space="preserve"> ont indiqué que le pirtobrutinib est un substrat de la P</w:t>
      </w:r>
      <w:r w:rsidRPr="00AD464F">
        <w:noBreakHyphen/>
        <w:t>gp et de la BCRP.</w:t>
      </w:r>
    </w:p>
    <w:p w14:paraId="4D335874" w14:textId="77777777" w:rsidR="00086011" w:rsidRPr="00AD464F" w:rsidRDefault="00086011" w:rsidP="00086011">
      <w:pPr>
        <w:spacing w:line="240" w:lineRule="auto"/>
      </w:pPr>
    </w:p>
    <w:p w14:paraId="306A8FAA" w14:textId="4B2046E4" w:rsidR="00744039" w:rsidRPr="00AD464F" w:rsidRDefault="00086011" w:rsidP="00265C78">
      <w:pPr>
        <w:spacing w:line="240" w:lineRule="auto"/>
      </w:pPr>
      <w:r w:rsidRPr="00AD464F">
        <w:t xml:space="preserve">Le pirtobrutinib est un inhibiteur </w:t>
      </w:r>
      <w:r w:rsidRPr="00AD464F">
        <w:rPr>
          <w:i/>
        </w:rPr>
        <w:t>in vitro</w:t>
      </w:r>
      <w:r w:rsidRPr="00AD464F">
        <w:t xml:space="preserve"> de la P</w:t>
      </w:r>
      <w:r w:rsidRPr="00AD464F">
        <w:noBreakHyphen/>
        <w:t>gp et de la BCRP. Le pirtobrutinib a affecté la pharmacocinétique de la digoxine, un substrat de la P-gp, et de la rosuvastatine, un substrat de la BCRP, dans les études cliniques (voir rubrique</w:t>
      </w:r>
      <w:r w:rsidR="004978EF">
        <w:t> </w:t>
      </w:r>
      <w:r w:rsidRPr="00AD464F">
        <w:t>4.5).</w:t>
      </w:r>
    </w:p>
    <w:p w14:paraId="36D700E0" w14:textId="77777777" w:rsidR="00086011" w:rsidRPr="00AD464F" w:rsidRDefault="00086011" w:rsidP="00204AAB">
      <w:pPr>
        <w:numPr>
          <w:ilvl w:val="12"/>
          <w:numId w:val="0"/>
        </w:numPr>
        <w:spacing w:line="240" w:lineRule="auto"/>
        <w:ind w:right="-2"/>
      </w:pPr>
    </w:p>
    <w:p w14:paraId="193F122A" w14:textId="70222FEB" w:rsidR="00812D16" w:rsidRPr="00AD464F" w:rsidRDefault="00617FEB" w:rsidP="009377E5">
      <w:pPr>
        <w:keepNext/>
        <w:numPr>
          <w:ilvl w:val="12"/>
          <w:numId w:val="0"/>
        </w:numPr>
        <w:spacing w:line="240" w:lineRule="auto"/>
        <w:ind w:right="-2"/>
      </w:pPr>
      <w:r w:rsidRPr="00AD464F">
        <w:rPr>
          <w:u w:val="single"/>
        </w:rPr>
        <w:t>Élimination</w:t>
      </w:r>
    </w:p>
    <w:p w14:paraId="6A954361" w14:textId="2A878A61" w:rsidR="002E76E7" w:rsidRPr="00AD464F" w:rsidRDefault="002E76E7" w:rsidP="009377E5">
      <w:pPr>
        <w:keepNext/>
        <w:numPr>
          <w:ilvl w:val="12"/>
          <w:numId w:val="0"/>
        </w:numPr>
        <w:spacing w:line="240" w:lineRule="auto"/>
        <w:ind w:right="-2"/>
      </w:pPr>
    </w:p>
    <w:p w14:paraId="75FB888B" w14:textId="15DDA11A" w:rsidR="003876D3" w:rsidRPr="00AD464F" w:rsidRDefault="00B00004" w:rsidP="009377E5">
      <w:pPr>
        <w:keepNext/>
        <w:numPr>
          <w:ilvl w:val="12"/>
          <w:numId w:val="0"/>
        </w:numPr>
        <w:spacing w:line="240" w:lineRule="auto"/>
        <w:ind w:right="-2"/>
      </w:pPr>
      <w:r w:rsidRPr="00AD464F">
        <w:t xml:space="preserve">La clairance apparente moyenne du pirtobrutinib est de </w:t>
      </w:r>
      <w:r w:rsidR="008A234A">
        <w:t>2,05</w:t>
      </w:r>
      <w:r w:rsidRPr="00AD464F">
        <w:t> L/h avec une demi</w:t>
      </w:r>
      <w:r w:rsidRPr="00AD464F">
        <w:noBreakHyphen/>
        <w:t>vie d</w:t>
      </w:r>
      <w:r w:rsidR="0062464D">
        <w:t>’</w:t>
      </w:r>
      <w:r w:rsidRPr="00AD464F">
        <w:t>environ 19</w:t>
      </w:r>
      <w:r w:rsidR="0027058D">
        <w:t>,9</w:t>
      </w:r>
      <w:r w:rsidRPr="00AD464F">
        <w:t> heures. Après l’administration d</w:t>
      </w:r>
      <w:r w:rsidR="0062464D">
        <w:t>’</w:t>
      </w:r>
      <w:r w:rsidRPr="00AD464F">
        <w:t xml:space="preserve">une dose unique radiomarquée de 200 mg de pirtobrutinib à des sujets sains, 37 % de la dose </w:t>
      </w:r>
      <w:r w:rsidR="00667237">
        <w:t>a</w:t>
      </w:r>
      <w:r w:rsidR="00667237" w:rsidRPr="00AD464F">
        <w:t xml:space="preserve"> </w:t>
      </w:r>
      <w:r w:rsidRPr="00AD464F">
        <w:t xml:space="preserve">été </w:t>
      </w:r>
      <w:r w:rsidR="00667237" w:rsidRPr="00AD464F">
        <w:t>excrété</w:t>
      </w:r>
      <w:r w:rsidR="00667237">
        <w:t>e</w:t>
      </w:r>
      <w:r w:rsidR="00667237" w:rsidRPr="00AD464F">
        <w:t xml:space="preserve"> </w:t>
      </w:r>
      <w:r w:rsidRPr="00AD464F">
        <w:t>dans les fèces (18 % sous forme inchangée) et 57 % dans l</w:t>
      </w:r>
      <w:r w:rsidR="00A173A8">
        <w:t>’</w:t>
      </w:r>
      <w:r w:rsidRPr="00AD464F">
        <w:t>urine (10 % sous forme inchangée).</w:t>
      </w:r>
    </w:p>
    <w:p w14:paraId="086414F9" w14:textId="77777777" w:rsidR="00254083" w:rsidRPr="00AD464F" w:rsidRDefault="00254083" w:rsidP="003B3663">
      <w:pPr>
        <w:numPr>
          <w:ilvl w:val="12"/>
          <w:numId w:val="0"/>
        </w:numPr>
        <w:spacing w:line="240" w:lineRule="auto"/>
        <w:ind w:right="-2"/>
      </w:pPr>
    </w:p>
    <w:p w14:paraId="23A8A116" w14:textId="79E85FDA" w:rsidR="00812D16" w:rsidRPr="00AD464F" w:rsidRDefault="00687297" w:rsidP="009377E5">
      <w:pPr>
        <w:keepNext/>
        <w:numPr>
          <w:ilvl w:val="12"/>
          <w:numId w:val="0"/>
        </w:numPr>
        <w:spacing w:line="240" w:lineRule="auto"/>
        <w:ind w:right="-2"/>
        <w:rPr>
          <w:iCs/>
          <w:noProof/>
          <w:szCs w:val="22"/>
        </w:rPr>
      </w:pPr>
      <w:r w:rsidRPr="00AD464F">
        <w:rPr>
          <w:u w:val="single"/>
        </w:rPr>
        <w:t>Populations particulières</w:t>
      </w:r>
    </w:p>
    <w:p w14:paraId="17389BF1" w14:textId="58DBAB9E" w:rsidR="00812D16" w:rsidRPr="00AD464F" w:rsidRDefault="00812D16" w:rsidP="009377E5">
      <w:pPr>
        <w:keepNext/>
        <w:spacing w:line="240" w:lineRule="auto"/>
        <w:rPr>
          <w:iCs/>
          <w:noProof/>
          <w:szCs w:val="22"/>
        </w:rPr>
      </w:pPr>
    </w:p>
    <w:p w14:paraId="75161DBF" w14:textId="362C0E3F" w:rsidR="00687297" w:rsidRPr="00AD464F" w:rsidRDefault="00687297" w:rsidP="009377E5">
      <w:pPr>
        <w:keepNext/>
        <w:spacing w:line="240" w:lineRule="auto"/>
        <w:rPr>
          <w:i/>
          <w:iCs/>
        </w:rPr>
      </w:pPr>
      <w:r w:rsidRPr="00AD464F">
        <w:rPr>
          <w:i/>
        </w:rPr>
        <w:t>Âge, sexe, race et poids corporel</w:t>
      </w:r>
    </w:p>
    <w:p w14:paraId="112C3F19" w14:textId="531D5415" w:rsidR="004E6B7C" w:rsidRPr="00AD464F" w:rsidRDefault="006A3F1F" w:rsidP="009377E5">
      <w:pPr>
        <w:keepNext/>
        <w:spacing w:line="240" w:lineRule="auto"/>
        <w:rPr>
          <w:szCs w:val="22"/>
        </w:rPr>
      </w:pPr>
      <w:r w:rsidRPr="00AD464F">
        <w:t xml:space="preserve">D’après une analyse pharmacocinétique de population chez des patients </w:t>
      </w:r>
      <w:r w:rsidR="007E76D7">
        <w:t>ayant un</w:t>
      </w:r>
      <w:r w:rsidRPr="00AD464F">
        <w:t xml:space="preserve"> cancer, l’âge (</w:t>
      </w:r>
      <w:r w:rsidR="00533652">
        <w:t>intervalle</w:t>
      </w:r>
      <w:r w:rsidRPr="00AD464F">
        <w:t xml:space="preserve"> : </w:t>
      </w:r>
      <w:r w:rsidR="00D759B5">
        <w:t>22</w:t>
      </w:r>
      <w:r w:rsidRPr="00AD464F">
        <w:noBreakHyphen/>
        <w:t>95</w:t>
      </w:r>
      <w:r w:rsidR="007E76D7">
        <w:t> </w:t>
      </w:r>
      <w:r w:rsidRPr="00AD464F">
        <w:t>ans), la race,</w:t>
      </w:r>
      <w:r w:rsidR="00533652" w:rsidRPr="00AD464F">
        <w:t xml:space="preserve"> </w:t>
      </w:r>
      <w:r w:rsidRPr="00AD464F">
        <w:t>le sexe et le poids corporel (</w:t>
      </w:r>
      <w:r w:rsidR="006B7A16">
        <w:t>intervalle</w:t>
      </w:r>
      <w:r w:rsidRPr="00AD464F">
        <w:t> : 35,7</w:t>
      </w:r>
      <w:r w:rsidRPr="00AD464F">
        <w:noBreakHyphen/>
        <w:t>152 kg) n</w:t>
      </w:r>
      <w:r w:rsidR="0062464D">
        <w:t>’</w:t>
      </w:r>
      <w:r w:rsidRPr="00AD464F">
        <w:t>ont pas eu d’effet cliniquement significatif sur l'exposition au pirtobrutinib.</w:t>
      </w:r>
    </w:p>
    <w:p w14:paraId="0AF78395" w14:textId="075B4366" w:rsidR="00687297" w:rsidRPr="00AD464F" w:rsidRDefault="00687297" w:rsidP="00204AAB">
      <w:pPr>
        <w:spacing w:line="240" w:lineRule="auto"/>
        <w:rPr>
          <w:iCs/>
          <w:noProof/>
          <w:szCs w:val="22"/>
        </w:rPr>
      </w:pPr>
    </w:p>
    <w:p w14:paraId="28D68DB7" w14:textId="2A0D260C" w:rsidR="009C6808" w:rsidRPr="00AD464F" w:rsidRDefault="00687297" w:rsidP="009377E5">
      <w:pPr>
        <w:keepNext/>
        <w:spacing w:line="240" w:lineRule="auto"/>
        <w:rPr>
          <w:szCs w:val="22"/>
        </w:rPr>
      </w:pPr>
      <w:r w:rsidRPr="00AD464F">
        <w:rPr>
          <w:i/>
        </w:rPr>
        <w:t>Insuffisance rénale</w:t>
      </w:r>
    </w:p>
    <w:p w14:paraId="1F26555F" w14:textId="3008351C" w:rsidR="00B22539" w:rsidRPr="00853656" w:rsidRDefault="00B22539" w:rsidP="00B22539">
      <w:pPr>
        <w:keepNext/>
        <w:spacing w:line="240" w:lineRule="auto"/>
        <w:rPr>
          <w:bCs/>
        </w:rPr>
      </w:pPr>
      <w:r w:rsidRPr="00853656">
        <w:rPr>
          <w:bCs/>
        </w:rPr>
        <w:t xml:space="preserve">Dans une analyse pharmacocinétique de population de patients </w:t>
      </w:r>
      <w:r w:rsidR="0039692D">
        <w:rPr>
          <w:bCs/>
        </w:rPr>
        <w:t xml:space="preserve">ayant </w:t>
      </w:r>
      <w:r w:rsidR="006F7807">
        <w:rPr>
          <w:bCs/>
        </w:rPr>
        <w:t>un cancer</w:t>
      </w:r>
      <w:r w:rsidRPr="00853656">
        <w:rPr>
          <w:bCs/>
        </w:rPr>
        <w:t>, de patients présentant une insuffisance rénale légère (DFGe 60 à &lt;</w:t>
      </w:r>
      <w:r w:rsidR="0062464D">
        <w:rPr>
          <w:bCs/>
        </w:rPr>
        <w:t> </w:t>
      </w:r>
      <w:r w:rsidRPr="00853656">
        <w:rPr>
          <w:bCs/>
        </w:rPr>
        <w:t>90</w:t>
      </w:r>
      <w:r w:rsidR="0062464D">
        <w:rPr>
          <w:bCs/>
        </w:rPr>
        <w:t> </w:t>
      </w:r>
      <w:r w:rsidR="0039692D" w:rsidRPr="00853656">
        <w:rPr>
          <w:bCs/>
        </w:rPr>
        <w:t>m</w:t>
      </w:r>
      <w:r w:rsidR="0039692D">
        <w:rPr>
          <w:bCs/>
        </w:rPr>
        <w:t>L</w:t>
      </w:r>
      <w:r w:rsidRPr="00853656">
        <w:rPr>
          <w:bCs/>
        </w:rPr>
        <w:t>/min) ou modérée (DFGe 30 à &lt;</w:t>
      </w:r>
      <w:r w:rsidR="00663809">
        <w:rPr>
          <w:bCs/>
        </w:rPr>
        <w:t> </w:t>
      </w:r>
      <w:r w:rsidRPr="00853656">
        <w:rPr>
          <w:bCs/>
        </w:rPr>
        <w:t>60</w:t>
      </w:r>
      <w:r w:rsidR="00663809">
        <w:rPr>
          <w:bCs/>
        </w:rPr>
        <w:t> </w:t>
      </w:r>
      <w:r w:rsidR="00663809" w:rsidRPr="00853656">
        <w:rPr>
          <w:bCs/>
        </w:rPr>
        <w:t>m</w:t>
      </w:r>
      <w:r w:rsidR="00663809">
        <w:rPr>
          <w:bCs/>
        </w:rPr>
        <w:t>L</w:t>
      </w:r>
      <w:r w:rsidRPr="00853656">
        <w:rPr>
          <w:bCs/>
        </w:rPr>
        <w:t>/min), la clairance du pirtobrutinib était inférieure de 16</w:t>
      </w:r>
      <w:r w:rsidR="00663809">
        <w:rPr>
          <w:bCs/>
        </w:rPr>
        <w:t> </w:t>
      </w:r>
      <w:r w:rsidRPr="00853656">
        <w:rPr>
          <w:bCs/>
        </w:rPr>
        <w:t>% à 27</w:t>
      </w:r>
      <w:r w:rsidR="00663809">
        <w:rPr>
          <w:bCs/>
        </w:rPr>
        <w:t> </w:t>
      </w:r>
      <w:r w:rsidRPr="00853656">
        <w:rPr>
          <w:bCs/>
        </w:rPr>
        <w:t>% par rapport à la clairance chez les patients ayant une fonction rénale normale, entraînant une exposition attendue de l'ASC</w:t>
      </w:r>
      <w:r w:rsidR="0043218D">
        <w:rPr>
          <w:bCs/>
        </w:rPr>
        <w:t> </w:t>
      </w:r>
      <w:r w:rsidRPr="00853656">
        <w:rPr>
          <w:bCs/>
        </w:rPr>
        <w:t>=</w:t>
      </w:r>
      <w:r w:rsidR="0043218D">
        <w:rPr>
          <w:bCs/>
        </w:rPr>
        <w:t> </w:t>
      </w:r>
      <w:r w:rsidRPr="00853656">
        <w:rPr>
          <w:bCs/>
        </w:rPr>
        <w:t>94</w:t>
      </w:r>
      <w:r w:rsidR="004F0F1D">
        <w:rPr>
          <w:bCs/>
        </w:rPr>
        <w:t> </w:t>
      </w:r>
      <w:r w:rsidRPr="00853656">
        <w:rPr>
          <w:bCs/>
        </w:rPr>
        <w:t>100</w:t>
      </w:r>
      <w:r w:rsidR="004F0F1D">
        <w:rPr>
          <w:bCs/>
        </w:rPr>
        <w:t> </w:t>
      </w:r>
      <w:r w:rsidRPr="00853656">
        <w:rPr>
          <w:bCs/>
        </w:rPr>
        <w:t>ng*h/mL et de la C</w:t>
      </w:r>
      <w:r w:rsidRPr="0043218D">
        <w:rPr>
          <w:bCs/>
          <w:vertAlign w:val="subscript"/>
        </w:rPr>
        <w:t>max</w:t>
      </w:r>
      <w:r w:rsidRPr="00853656">
        <w:rPr>
          <w:bCs/>
        </w:rPr>
        <w:t xml:space="preserve"> = 6 680 ng/mL chez les patients présentant une insuffisance rénale légère (16</w:t>
      </w:r>
      <w:r w:rsidR="00C43E2A">
        <w:rPr>
          <w:bCs/>
        </w:rPr>
        <w:t>-</w:t>
      </w:r>
      <w:r w:rsidRPr="00853656">
        <w:rPr>
          <w:bCs/>
        </w:rPr>
        <w:t>19</w:t>
      </w:r>
      <w:r w:rsidR="0001297B">
        <w:rPr>
          <w:bCs/>
        </w:rPr>
        <w:t> </w:t>
      </w:r>
      <w:r w:rsidRPr="00853656">
        <w:rPr>
          <w:bCs/>
        </w:rPr>
        <w:t>% supérieure par rapport aux patients ayant une fonction rénale normale) et de l'ASC = 108 000 ng*h/mL et C</w:t>
      </w:r>
      <w:r w:rsidRPr="00C43E2A">
        <w:rPr>
          <w:bCs/>
          <w:vertAlign w:val="subscript"/>
        </w:rPr>
        <w:t>max</w:t>
      </w:r>
      <w:r w:rsidRPr="00853656">
        <w:rPr>
          <w:bCs/>
        </w:rPr>
        <w:t xml:space="preserve"> = 7</w:t>
      </w:r>
      <w:r w:rsidR="0062464D">
        <w:rPr>
          <w:bCs/>
        </w:rPr>
        <w:t> </w:t>
      </w:r>
      <w:r w:rsidRPr="00853656">
        <w:rPr>
          <w:bCs/>
        </w:rPr>
        <w:t>360</w:t>
      </w:r>
      <w:r w:rsidR="0062464D">
        <w:rPr>
          <w:bCs/>
        </w:rPr>
        <w:t> </w:t>
      </w:r>
      <w:r w:rsidRPr="00853656">
        <w:rPr>
          <w:bCs/>
        </w:rPr>
        <w:t>ng/mL chez les patients présentant une insuffisance rénale modérée (28 à 36</w:t>
      </w:r>
      <w:r w:rsidR="0001297B">
        <w:rPr>
          <w:bCs/>
        </w:rPr>
        <w:t> </w:t>
      </w:r>
      <w:r w:rsidRPr="00853656">
        <w:rPr>
          <w:bCs/>
        </w:rPr>
        <w:t>% supérieure par rapport aux patients ayant une fonction rénale normale).</w:t>
      </w:r>
    </w:p>
    <w:p w14:paraId="1CA5D99B" w14:textId="77777777" w:rsidR="00B22539" w:rsidRPr="00853656" w:rsidRDefault="00B22539" w:rsidP="00B22539">
      <w:pPr>
        <w:keepNext/>
        <w:spacing w:line="240" w:lineRule="auto"/>
        <w:rPr>
          <w:bCs/>
        </w:rPr>
      </w:pPr>
    </w:p>
    <w:p w14:paraId="2199DCB6" w14:textId="56A87FCF" w:rsidR="00B22539" w:rsidRPr="00853656" w:rsidRDefault="00B22539" w:rsidP="00B22539">
      <w:pPr>
        <w:keepNext/>
        <w:spacing w:line="240" w:lineRule="auto"/>
        <w:rPr>
          <w:bCs/>
        </w:rPr>
      </w:pPr>
      <w:r w:rsidRPr="00853656">
        <w:rPr>
          <w:bCs/>
        </w:rPr>
        <w:t xml:space="preserve">Dans une étude de pharmacologie clinique portant sur des volontaires par ailleurs </w:t>
      </w:r>
      <w:r w:rsidR="00446527">
        <w:rPr>
          <w:bCs/>
        </w:rPr>
        <w:t>sains</w:t>
      </w:r>
      <w:r w:rsidRPr="00853656">
        <w:rPr>
          <w:bCs/>
        </w:rPr>
        <w:t>, la clairance apparente était inférieure de 35</w:t>
      </w:r>
      <w:r w:rsidR="00BD520E">
        <w:rPr>
          <w:bCs/>
        </w:rPr>
        <w:t> </w:t>
      </w:r>
      <w:r w:rsidRPr="00853656">
        <w:rPr>
          <w:bCs/>
        </w:rPr>
        <w:t>% chez quatre participants présentant une insuffisance rénale sévère (DFGe 15 à &lt;</w:t>
      </w:r>
      <w:r w:rsidR="00BD520E">
        <w:rPr>
          <w:bCs/>
        </w:rPr>
        <w:t> </w:t>
      </w:r>
      <w:r w:rsidRPr="00853656">
        <w:rPr>
          <w:bCs/>
        </w:rPr>
        <w:t>30</w:t>
      </w:r>
      <w:r w:rsidR="0062464D">
        <w:rPr>
          <w:bCs/>
        </w:rPr>
        <w:t> </w:t>
      </w:r>
      <w:r w:rsidR="00BD520E" w:rsidRPr="00853656">
        <w:rPr>
          <w:bCs/>
        </w:rPr>
        <w:t>m</w:t>
      </w:r>
      <w:r w:rsidR="00BD520E">
        <w:rPr>
          <w:bCs/>
        </w:rPr>
        <w:t>L</w:t>
      </w:r>
      <w:r w:rsidRPr="00853656">
        <w:rPr>
          <w:bCs/>
        </w:rPr>
        <w:t>/min) par rapport à huit participants ayant une fonction rénale normale (DFGe</w:t>
      </w:r>
      <w:r w:rsidR="00AF19EF">
        <w:rPr>
          <w:bCs/>
        </w:rPr>
        <w:t> </w:t>
      </w:r>
      <w:r w:rsidRPr="00853656">
        <w:rPr>
          <w:bCs/>
        </w:rPr>
        <w:t>≥</w:t>
      </w:r>
      <w:r w:rsidR="00AF19EF">
        <w:rPr>
          <w:bCs/>
        </w:rPr>
        <w:t> </w:t>
      </w:r>
      <w:r w:rsidRPr="00853656">
        <w:rPr>
          <w:bCs/>
        </w:rPr>
        <w:t>90</w:t>
      </w:r>
      <w:r w:rsidR="0062464D">
        <w:rPr>
          <w:bCs/>
        </w:rPr>
        <w:t> </w:t>
      </w:r>
      <w:r w:rsidR="00BD520E" w:rsidRPr="00853656">
        <w:rPr>
          <w:bCs/>
        </w:rPr>
        <w:t>m</w:t>
      </w:r>
      <w:r w:rsidR="00BD520E">
        <w:rPr>
          <w:bCs/>
        </w:rPr>
        <w:t>L</w:t>
      </w:r>
      <w:r w:rsidRPr="00853656">
        <w:rPr>
          <w:bCs/>
        </w:rPr>
        <w:t>/min), résultant en des expositions d</w:t>
      </w:r>
      <w:r w:rsidR="0062464D">
        <w:rPr>
          <w:bCs/>
        </w:rPr>
        <w:t>’</w:t>
      </w:r>
      <w:r w:rsidRPr="00853656">
        <w:rPr>
          <w:bCs/>
        </w:rPr>
        <w:t>ASC</w:t>
      </w:r>
      <w:r w:rsidRPr="00AF19EF">
        <w:rPr>
          <w:bCs/>
          <w:vertAlign w:val="subscript"/>
        </w:rPr>
        <w:t>0</w:t>
      </w:r>
      <w:r w:rsidR="00AF19EF" w:rsidRPr="00AF19EF">
        <w:rPr>
          <w:bCs/>
          <w:vertAlign w:val="subscript"/>
        </w:rPr>
        <w:t>-</w:t>
      </w:r>
      <w:r w:rsidRPr="00AF19EF">
        <w:rPr>
          <w:bCs/>
          <w:vertAlign w:val="subscript"/>
        </w:rPr>
        <w:t>inf</w:t>
      </w:r>
      <w:r w:rsidRPr="00853656">
        <w:rPr>
          <w:bCs/>
        </w:rPr>
        <w:t xml:space="preserve"> = 115</w:t>
      </w:r>
      <w:r w:rsidR="0062464D">
        <w:rPr>
          <w:bCs/>
        </w:rPr>
        <w:t> </w:t>
      </w:r>
      <w:r w:rsidRPr="00853656">
        <w:rPr>
          <w:bCs/>
        </w:rPr>
        <w:t>000</w:t>
      </w:r>
      <w:r w:rsidR="0062464D">
        <w:rPr>
          <w:bCs/>
        </w:rPr>
        <w:t> </w:t>
      </w:r>
      <w:r w:rsidRPr="00853656">
        <w:rPr>
          <w:bCs/>
        </w:rPr>
        <w:t>ng*h/mL et C</w:t>
      </w:r>
      <w:r w:rsidRPr="00AF19EF">
        <w:rPr>
          <w:bCs/>
          <w:vertAlign w:val="subscript"/>
        </w:rPr>
        <w:t>max</w:t>
      </w:r>
      <w:r w:rsidR="008B165C">
        <w:rPr>
          <w:bCs/>
          <w:vertAlign w:val="subscript"/>
        </w:rPr>
        <w:t> </w:t>
      </w:r>
      <w:r w:rsidRPr="00853656">
        <w:rPr>
          <w:bCs/>
        </w:rPr>
        <w:t>=</w:t>
      </w:r>
      <w:r w:rsidR="008B165C">
        <w:rPr>
          <w:bCs/>
        </w:rPr>
        <w:t> </w:t>
      </w:r>
      <w:r w:rsidRPr="00853656">
        <w:rPr>
          <w:bCs/>
        </w:rPr>
        <w:t>2</w:t>
      </w:r>
      <w:r w:rsidR="008B165C">
        <w:rPr>
          <w:bCs/>
        </w:rPr>
        <w:t> </w:t>
      </w:r>
      <w:r w:rsidRPr="00853656">
        <w:rPr>
          <w:bCs/>
        </w:rPr>
        <w:t>980</w:t>
      </w:r>
      <w:r w:rsidR="008B165C">
        <w:rPr>
          <w:bCs/>
        </w:rPr>
        <w:t> </w:t>
      </w:r>
      <w:r w:rsidRPr="00853656">
        <w:rPr>
          <w:bCs/>
        </w:rPr>
        <w:t>ng/mL (respectivement 62</w:t>
      </w:r>
      <w:r w:rsidR="00BD520E">
        <w:rPr>
          <w:bCs/>
        </w:rPr>
        <w:t> </w:t>
      </w:r>
      <w:r w:rsidRPr="00853656">
        <w:rPr>
          <w:bCs/>
        </w:rPr>
        <w:t>% supérieure et 7% inférieure, par rapport à une fonction rénale normale).</w:t>
      </w:r>
    </w:p>
    <w:p w14:paraId="26B4FDF2" w14:textId="77777777" w:rsidR="00B22539" w:rsidRPr="00853656" w:rsidRDefault="00B22539" w:rsidP="00B22539">
      <w:pPr>
        <w:keepNext/>
        <w:spacing w:line="240" w:lineRule="auto"/>
        <w:rPr>
          <w:bCs/>
        </w:rPr>
      </w:pPr>
    </w:p>
    <w:p w14:paraId="4C1A82BA" w14:textId="31600630" w:rsidR="006F452E" w:rsidRPr="00853656" w:rsidRDefault="00B22539" w:rsidP="00B22539">
      <w:pPr>
        <w:keepNext/>
        <w:spacing w:line="240" w:lineRule="auto"/>
        <w:rPr>
          <w:bCs/>
        </w:rPr>
      </w:pPr>
      <w:r w:rsidRPr="00853656">
        <w:rPr>
          <w:bCs/>
        </w:rPr>
        <w:t>Les patients atteints d</w:t>
      </w:r>
      <w:r w:rsidR="0062464D">
        <w:rPr>
          <w:bCs/>
        </w:rPr>
        <w:t>’</w:t>
      </w:r>
      <w:r w:rsidRPr="00853656">
        <w:rPr>
          <w:bCs/>
        </w:rPr>
        <w:t>insuffisance rénale terminale sous dialyse n</w:t>
      </w:r>
      <w:r w:rsidR="0062464D">
        <w:rPr>
          <w:bCs/>
        </w:rPr>
        <w:t>’</w:t>
      </w:r>
      <w:r w:rsidRPr="00853656">
        <w:rPr>
          <w:bCs/>
        </w:rPr>
        <w:t>ont pas été étudiés (voir rubrique</w:t>
      </w:r>
      <w:r w:rsidR="00BD520E">
        <w:rPr>
          <w:bCs/>
        </w:rPr>
        <w:t> </w:t>
      </w:r>
      <w:r w:rsidRPr="00853656">
        <w:rPr>
          <w:bCs/>
        </w:rPr>
        <w:t>4.2).</w:t>
      </w:r>
    </w:p>
    <w:p w14:paraId="10C0D68C" w14:textId="77777777" w:rsidR="00446527" w:rsidRDefault="00446527" w:rsidP="009664CE">
      <w:pPr>
        <w:keepNext/>
        <w:spacing w:line="240" w:lineRule="auto"/>
        <w:rPr>
          <w:i/>
        </w:rPr>
      </w:pPr>
    </w:p>
    <w:p w14:paraId="15A98A32" w14:textId="46E9C1E9" w:rsidR="009664CE" w:rsidRPr="00AD464F" w:rsidRDefault="009664CE" w:rsidP="009664CE">
      <w:pPr>
        <w:keepNext/>
        <w:spacing w:line="240" w:lineRule="auto"/>
        <w:rPr>
          <w:szCs w:val="22"/>
        </w:rPr>
      </w:pPr>
      <w:r w:rsidRPr="00AD464F">
        <w:rPr>
          <w:i/>
        </w:rPr>
        <w:t>Insuffisance hépatique</w:t>
      </w:r>
    </w:p>
    <w:p w14:paraId="24275DC2" w14:textId="5C8726DA" w:rsidR="009664CE" w:rsidRPr="00AD464F" w:rsidRDefault="009664CE" w:rsidP="00411EC6">
      <w:pPr>
        <w:keepNext/>
        <w:spacing w:line="240" w:lineRule="auto"/>
      </w:pPr>
      <w:r w:rsidRPr="00AD464F">
        <w:t>Il n’a été observé aucune différence cliniquement significative dans la pharmacocinétique du pirtobrutinib quel que soit le degré d</w:t>
      </w:r>
      <w:r w:rsidR="0062464D">
        <w:t>’</w:t>
      </w:r>
      <w:r w:rsidRPr="00AD464F">
        <w:t>insuffisance hépatique (selon Child</w:t>
      </w:r>
      <w:r w:rsidRPr="00AD464F">
        <w:noBreakHyphen/>
        <w:t>Pugh A, B et C ou tout taux de bilirubine totale et tout taux d’ASAT). Dans une étude consacrée à l'insuffisance hépatique, l</w:t>
      </w:r>
      <w:r w:rsidR="00D6567B">
        <w:t>’</w:t>
      </w:r>
      <w:r w:rsidRPr="00AD464F">
        <w:t>ASC et la C</w:t>
      </w:r>
      <w:r w:rsidRPr="00AD464F">
        <w:rPr>
          <w:vertAlign w:val="subscript"/>
        </w:rPr>
        <w:t>max</w:t>
      </w:r>
      <w:r w:rsidRPr="00AD464F">
        <w:t xml:space="preserve"> moyennes du pirtobrutinib étaient similaires chez les sujets présentant une insuffisance hépatique légère (Child</w:t>
      </w:r>
      <w:r w:rsidRPr="00AD464F">
        <w:noBreakHyphen/>
        <w:t>Pugh</w:t>
      </w:r>
      <w:r w:rsidR="00D6567B">
        <w:t> </w:t>
      </w:r>
      <w:r w:rsidRPr="00AD464F">
        <w:t>A) et les sujets présentant une fonction hépatique normale. Chez les sujets présentant une insuffisance hépatique modérée (Child-Pugh</w:t>
      </w:r>
      <w:r w:rsidR="00D6567B">
        <w:t> </w:t>
      </w:r>
      <w:r w:rsidRPr="00AD464F">
        <w:t>B), l</w:t>
      </w:r>
      <w:r w:rsidR="00D6567B">
        <w:t>’</w:t>
      </w:r>
      <w:r w:rsidRPr="00AD464F">
        <w:t>ASC était inférieure de 15 % par rapport aux sujets ayant une fonction hépatique normale et la C</w:t>
      </w:r>
      <w:r w:rsidRPr="00AD464F">
        <w:rPr>
          <w:vertAlign w:val="subscript"/>
        </w:rPr>
        <w:t>max</w:t>
      </w:r>
      <w:r w:rsidRPr="00AD464F">
        <w:t xml:space="preserve"> était similaire. Chez les sujets présentant une insuffisance hépatique sévère (Child</w:t>
      </w:r>
      <w:r w:rsidRPr="00AD464F">
        <w:noBreakHyphen/>
        <w:t>Pugh</w:t>
      </w:r>
      <w:r w:rsidR="00D6567B">
        <w:t> </w:t>
      </w:r>
      <w:r w:rsidRPr="00AD464F">
        <w:t>C), l</w:t>
      </w:r>
      <w:r w:rsidR="00D6567B">
        <w:t>’</w:t>
      </w:r>
      <w:r w:rsidRPr="00AD464F">
        <w:t>ASC du pirtobrutinib était inférieure de 21 % et la C</w:t>
      </w:r>
      <w:r w:rsidRPr="00AD464F">
        <w:rPr>
          <w:vertAlign w:val="subscript"/>
        </w:rPr>
        <w:t>max</w:t>
      </w:r>
      <w:r w:rsidRPr="00AD464F">
        <w:t xml:space="preserve"> moyenne était inférieure de 24 % par rapport aux sujets ayant une fonction hépatique normale. En règle générale, la fraction libre (non liée) du pirtobrutinib chez les sujets a augmenté au fur et à mesure de l’augmentation de la sévérité de l</w:t>
      </w:r>
      <w:r w:rsidR="00D6567B">
        <w:t>’</w:t>
      </w:r>
      <w:r w:rsidRPr="00AD464F">
        <w:t>insuffisance hépatique. C’est pourquoi, après correction des paramètres d</w:t>
      </w:r>
      <w:r w:rsidR="00D6567B">
        <w:t>’</w:t>
      </w:r>
      <w:r w:rsidRPr="00AD464F">
        <w:t>exposition pharmacocinétique du pirtobrutinib en fonction de la fraction libre, aucune différence cliniquement significative n'a été observée dans les paramètres d</w:t>
      </w:r>
      <w:r w:rsidR="00D6567B">
        <w:t>’</w:t>
      </w:r>
      <w:r w:rsidRPr="00AD464F">
        <w:t>exposition pharmacocinétique du pirtobrutinib non lié (ASCu et C</w:t>
      </w:r>
      <w:r w:rsidRPr="00AD464F">
        <w:rPr>
          <w:vertAlign w:val="subscript"/>
        </w:rPr>
        <w:t>max</w:t>
      </w:r>
      <w:r w:rsidRPr="00AD464F">
        <w:t xml:space="preserve">, u) entre les sujets présentant </w:t>
      </w:r>
      <w:r w:rsidR="005F36AB">
        <w:t xml:space="preserve">une insuffisance hépatique quel que soit le </w:t>
      </w:r>
      <w:r w:rsidRPr="00AD464F">
        <w:t>degré et ceux présentant une fonction hépatique normale.</w:t>
      </w:r>
    </w:p>
    <w:p w14:paraId="05C75914" w14:textId="77777777" w:rsidR="00BA58CF" w:rsidRPr="00AD464F" w:rsidRDefault="00BA58CF" w:rsidP="00204AAB">
      <w:pPr>
        <w:spacing w:line="240" w:lineRule="auto"/>
        <w:rPr>
          <w:iCs/>
          <w:noProof/>
          <w:szCs w:val="22"/>
          <w:u w:val="single"/>
        </w:rPr>
      </w:pPr>
    </w:p>
    <w:p w14:paraId="6DC2A08E" w14:textId="2520703B" w:rsidR="009C6808" w:rsidRPr="00AD464F" w:rsidRDefault="00687297" w:rsidP="009377E5">
      <w:pPr>
        <w:keepNext/>
        <w:spacing w:line="240" w:lineRule="auto"/>
        <w:rPr>
          <w:szCs w:val="22"/>
        </w:rPr>
      </w:pPr>
      <w:r w:rsidRPr="00AD464F">
        <w:rPr>
          <w:i/>
        </w:rPr>
        <w:t>Population pédiatrique</w:t>
      </w:r>
    </w:p>
    <w:p w14:paraId="32FC5188" w14:textId="47EA5788" w:rsidR="000E77A0" w:rsidRPr="00AD464F" w:rsidRDefault="00687297" w:rsidP="009377E5">
      <w:pPr>
        <w:keepNext/>
        <w:spacing w:line="240" w:lineRule="auto"/>
        <w:rPr>
          <w:iCs/>
          <w:noProof/>
          <w:szCs w:val="22"/>
        </w:rPr>
      </w:pPr>
      <w:r w:rsidRPr="00AD464F">
        <w:t>Aucune étude pharmacocinétique n</w:t>
      </w:r>
      <w:r w:rsidR="00D6567B">
        <w:t>’</w:t>
      </w:r>
      <w:r w:rsidRPr="00AD464F">
        <w:t>a été réalisée avec le pirtobrutinib chez les patients âgés de moins de 18</w:t>
      </w:r>
      <w:r w:rsidR="008809AF">
        <w:t> </w:t>
      </w:r>
      <w:r w:rsidRPr="00AD464F">
        <w:t>ans.</w:t>
      </w:r>
    </w:p>
    <w:p w14:paraId="71C322F2" w14:textId="77777777" w:rsidR="00812D16" w:rsidRPr="00AD464F" w:rsidRDefault="00812D16" w:rsidP="00204AAB">
      <w:pPr>
        <w:numPr>
          <w:ilvl w:val="12"/>
          <w:numId w:val="0"/>
        </w:numPr>
        <w:spacing w:line="240" w:lineRule="auto"/>
        <w:ind w:right="-2"/>
        <w:rPr>
          <w:iCs/>
          <w:noProof/>
          <w:szCs w:val="22"/>
        </w:rPr>
      </w:pPr>
    </w:p>
    <w:p w14:paraId="0BA0FF2F" w14:textId="6360A044" w:rsidR="00812D16" w:rsidRDefault="00A84DE4" w:rsidP="0036481F">
      <w:pPr>
        <w:keepNext/>
        <w:spacing w:line="240" w:lineRule="auto"/>
        <w:rPr>
          <w:b/>
        </w:rPr>
      </w:pPr>
      <w:r w:rsidRPr="00B74A3B">
        <w:rPr>
          <w:b/>
        </w:rPr>
        <w:t>5.3</w:t>
      </w:r>
      <w:r w:rsidRPr="00B74A3B">
        <w:rPr>
          <w:b/>
        </w:rPr>
        <w:tab/>
        <w:t>Données de sécurité préclinique</w:t>
      </w:r>
    </w:p>
    <w:p w14:paraId="0CF14F09" w14:textId="77777777" w:rsidR="00A84DE4" w:rsidRPr="00AD464F" w:rsidRDefault="00A84DE4" w:rsidP="0036481F">
      <w:pPr>
        <w:keepNext/>
        <w:spacing w:line="240" w:lineRule="auto"/>
        <w:rPr>
          <w:noProof/>
          <w:szCs w:val="22"/>
        </w:rPr>
      </w:pPr>
    </w:p>
    <w:p w14:paraId="4C778C14" w14:textId="2DEDCC6E" w:rsidR="0000480A" w:rsidRPr="00AD464F" w:rsidRDefault="008B165C" w:rsidP="0036481F">
      <w:pPr>
        <w:keepNext/>
        <w:spacing w:line="240" w:lineRule="auto"/>
        <w:rPr>
          <w:noProof/>
          <w:szCs w:val="22"/>
        </w:rPr>
      </w:pPr>
      <w:r>
        <w:t>Dans l</w:t>
      </w:r>
      <w:r w:rsidR="00FE55A1">
        <w:t xml:space="preserve">es </w:t>
      </w:r>
      <w:r w:rsidR="0018794B" w:rsidRPr="00AD464F">
        <w:t>étude</w:t>
      </w:r>
      <w:r w:rsidR="00FE55A1">
        <w:t>s</w:t>
      </w:r>
      <w:r w:rsidR="0018794B" w:rsidRPr="00AD464F">
        <w:t xml:space="preserve"> à doses répétées</w:t>
      </w:r>
      <w:r w:rsidR="00FE55A1">
        <w:t> </w:t>
      </w:r>
      <w:r w:rsidR="0018794B" w:rsidRPr="00AD464F">
        <w:t>une diminution de la réponse anticorps dépendante des lymphocytes</w:t>
      </w:r>
      <w:r w:rsidR="008809AF">
        <w:t> </w:t>
      </w:r>
      <w:r w:rsidR="0018794B" w:rsidRPr="00AD464F">
        <w:t xml:space="preserve">T chez le rat </w:t>
      </w:r>
      <w:r w:rsidR="00705852">
        <w:t>(</w:t>
      </w:r>
      <w:r w:rsidR="0018794B" w:rsidRPr="00AD464F">
        <w:t>à une exposition 0,69 fois supérieure à l'exposition humaine à la dose recommandée de 200 mg d’après l</w:t>
      </w:r>
      <w:r w:rsidR="002530B9">
        <w:t>’</w:t>
      </w:r>
      <w:r w:rsidR="0018794B" w:rsidRPr="00AD464F">
        <w:t>ASC</w:t>
      </w:r>
      <w:r w:rsidR="00705852">
        <w:t>)</w:t>
      </w:r>
      <w:r w:rsidR="0018794B" w:rsidRPr="00AD464F">
        <w:t xml:space="preserve"> et des lésions cornéennes minimes à légères chez le chien </w:t>
      </w:r>
      <w:r w:rsidR="00705852">
        <w:t>(</w:t>
      </w:r>
      <w:r w:rsidR="0018794B" w:rsidRPr="00AD464F">
        <w:t>à une exposition 0,42 fois supérieure à l</w:t>
      </w:r>
      <w:r w:rsidR="002530B9">
        <w:t>’</w:t>
      </w:r>
      <w:r w:rsidR="0018794B" w:rsidRPr="00AD464F">
        <w:t>exposition humaine</w:t>
      </w:r>
      <w:r w:rsidR="00FE710C">
        <w:t>) ont été observées</w:t>
      </w:r>
      <w:r w:rsidR="0018794B" w:rsidRPr="00AD464F">
        <w:t>.</w:t>
      </w:r>
      <w:r w:rsidR="00287588">
        <w:t xml:space="preserve"> </w:t>
      </w:r>
      <w:r w:rsidR="00287588" w:rsidRPr="00843E76">
        <w:t xml:space="preserve">Une nécrose vasculaire légère à modérée et une inflammation vasculaire/périvasculaire dans les gros vaisseaux sanguins pulmonaires ont été observées </w:t>
      </w:r>
      <w:r w:rsidR="00AD4B7F">
        <w:t>seulement</w:t>
      </w:r>
      <w:r w:rsidR="00287588" w:rsidRPr="00843E76">
        <w:t xml:space="preserve"> </w:t>
      </w:r>
      <w:r w:rsidR="00287588">
        <w:t>chez le rat</w:t>
      </w:r>
      <w:r w:rsidR="00287588" w:rsidRPr="00843E76">
        <w:t>. Ces effets se sont produits à des niveaux d’exposition cliniquement pertinents.</w:t>
      </w:r>
    </w:p>
    <w:p w14:paraId="1D6B22AB" w14:textId="77777777" w:rsidR="0000480A" w:rsidRPr="00AD464F" w:rsidRDefault="0000480A" w:rsidP="0000480A">
      <w:pPr>
        <w:spacing w:line="240" w:lineRule="auto"/>
        <w:rPr>
          <w:noProof/>
          <w:szCs w:val="22"/>
        </w:rPr>
      </w:pPr>
    </w:p>
    <w:p w14:paraId="514A118A" w14:textId="13E9E5FE" w:rsidR="0018794B" w:rsidRPr="00AD464F" w:rsidRDefault="005E184D" w:rsidP="009377E5">
      <w:pPr>
        <w:keepNext/>
        <w:spacing w:line="240" w:lineRule="auto"/>
        <w:rPr>
          <w:noProof/>
          <w:szCs w:val="22"/>
          <w:u w:val="single"/>
        </w:rPr>
      </w:pPr>
      <w:r w:rsidRPr="00AD464F">
        <w:rPr>
          <w:u w:val="single"/>
        </w:rPr>
        <w:t>Génotoxicité/</w:t>
      </w:r>
      <w:r w:rsidR="006767D5">
        <w:rPr>
          <w:u w:val="single"/>
        </w:rPr>
        <w:t>Cancérogénicité</w:t>
      </w:r>
    </w:p>
    <w:p w14:paraId="6A50F3F0" w14:textId="77777777" w:rsidR="005E184D" w:rsidRPr="00AD464F" w:rsidRDefault="005E184D" w:rsidP="009377E5">
      <w:pPr>
        <w:keepNext/>
        <w:spacing w:line="240" w:lineRule="auto"/>
        <w:rPr>
          <w:noProof/>
          <w:szCs w:val="22"/>
          <w:u w:val="single"/>
        </w:rPr>
      </w:pPr>
    </w:p>
    <w:p w14:paraId="2EB5F418" w14:textId="272F954D" w:rsidR="005E184D" w:rsidRPr="00AD464F" w:rsidRDefault="005E184D" w:rsidP="009377E5">
      <w:pPr>
        <w:keepNext/>
        <w:spacing w:line="240" w:lineRule="auto"/>
        <w:rPr>
          <w:noProof/>
          <w:szCs w:val="22"/>
        </w:rPr>
      </w:pPr>
      <w:r w:rsidRPr="00AD464F">
        <w:t xml:space="preserve">Le pirtobrutinib s’est révélé non mutagène dans un test de mutagénicité </w:t>
      </w:r>
      <w:r w:rsidR="00CC100F">
        <w:t>sur bactéries</w:t>
      </w:r>
      <w:r w:rsidR="00CC100F" w:rsidRPr="00AD464F">
        <w:t xml:space="preserve"> </w:t>
      </w:r>
      <w:r w:rsidRPr="00AD464F">
        <w:t>(Ames). Le</w:t>
      </w:r>
      <w:r w:rsidR="002A7B65">
        <w:t> </w:t>
      </w:r>
      <w:r w:rsidRPr="00AD464F">
        <w:t>pirtobrutinib s</w:t>
      </w:r>
      <w:r w:rsidR="002530B9">
        <w:t>’</w:t>
      </w:r>
      <w:r w:rsidRPr="00AD464F">
        <w:t xml:space="preserve">est révélé aneugène dans </w:t>
      </w:r>
      <w:r w:rsidR="002558BB">
        <w:t>deux</w:t>
      </w:r>
      <w:r w:rsidRPr="00AD464F">
        <w:t xml:space="preserve"> tests des micronoyaux </w:t>
      </w:r>
      <w:r w:rsidRPr="00AD464F">
        <w:rPr>
          <w:i/>
        </w:rPr>
        <w:t>in vitro</w:t>
      </w:r>
      <w:r w:rsidRPr="00AD464F">
        <w:t xml:space="preserve"> utilisant des lymphocytes du sang périphérique humain. Le pirtobrutinib n</w:t>
      </w:r>
      <w:r w:rsidR="002530B9">
        <w:t>’</w:t>
      </w:r>
      <w:r w:rsidRPr="00AD464F">
        <w:t xml:space="preserve">a eu aucun effet dans un test des micronoyaux </w:t>
      </w:r>
      <w:r w:rsidRPr="00AD464F">
        <w:rPr>
          <w:i/>
        </w:rPr>
        <w:t>in vivo</w:t>
      </w:r>
      <w:r w:rsidRPr="00AD464F">
        <w:t xml:space="preserve"> sur des cellules de moelle osseuse de rat à des doses allant jusqu</w:t>
      </w:r>
      <w:r w:rsidR="002530B9">
        <w:t>’</w:t>
      </w:r>
      <w:r w:rsidRPr="00AD464F">
        <w:t>à 2000 mg/kg</w:t>
      </w:r>
      <w:r w:rsidR="002558BB">
        <w:t xml:space="preserve"> (dose unique)</w:t>
      </w:r>
      <w:r w:rsidRPr="00AD464F">
        <w:t>, soit une exposition environ 1</w:t>
      </w:r>
      <w:r w:rsidR="00105787">
        <w:t>1</w:t>
      </w:r>
      <w:r w:rsidR="00334AE7">
        <w:t> </w:t>
      </w:r>
      <w:r w:rsidRPr="00AD464F">
        <w:t>fois plus élevée (</w:t>
      </w:r>
      <w:r w:rsidR="00105787">
        <w:t xml:space="preserve">considérant une valeur </w:t>
      </w:r>
      <w:r w:rsidRPr="00AD464F">
        <w:t>C</w:t>
      </w:r>
      <w:r w:rsidRPr="00AD464F">
        <w:rPr>
          <w:vertAlign w:val="subscript"/>
        </w:rPr>
        <w:t>max</w:t>
      </w:r>
      <w:r w:rsidRPr="00AD464F">
        <w:t xml:space="preserve"> non liée</w:t>
      </w:r>
      <w:r w:rsidR="00105787">
        <w:t xml:space="preserve"> chez les animaux femelles</w:t>
      </w:r>
      <w:r w:rsidRPr="00AD464F">
        <w:t>) que l</w:t>
      </w:r>
      <w:r w:rsidR="002530B9">
        <w:t>’</w:t>
      </w:r>
      <w:r w:rsidRPr="00AD464F">
        <w:t>exposition humaine à 200 mg.</w:t>
      </w:r>
    </w:p>
    <w:p w14:paraId="51BF953A" w14:textId="77777777" w:rsidR="005E184D" w:rsidRPr="00AD464F" w:rsidRDefault="005E184D" w:rsidP="00204AAB">
      <w:pPr>
        <w:spacing w:line="240" w:lineRule="auto"/>
        <w:rPr>
          <w:noProof/>
          <w:szCs w:val="22"/>
        </w:rPr>
      </w:pPr>
    </w:p>
    <w:p w14:paraId="2CB1359F" w14:textId="28B4E5CE" w:rsidR="0018794B" w:rsidRPr="00AD464F" w:rsidRDefault="0018794B" w:rsidP="0018794B">
      <w:pPr>
        <w:spacing w:line="240" w:lineRule="auto"/>
        <w:rPr>
          <w:noProof/>
          <w:szCs w:val="22"/>
        </w:rPr>
      </w:pPr>
      <w:r w:rsidRPr="00AD464F">
        <w:t xml:space="preserve">Aucune étude de </w:t>
      </w:r>
      <w:r w:rsidR="00CC100F">
        <w:t>cancérogénicité</w:t>
      </w:r>
      <w:r w:rsidR="00CC100F" w:rsidRPr="00AD464F">
        <w:t xml:space="preserve"> </w:t>
      </w:r>
      <w:r w:rsidRPr="00AD464F">
        <w:t>n</w:t>
      </w:r>
      <w:r w:rsidR="002530B9">
        <w:t>’</w:t>
      </w:r>
      <w:r w:rsidRPr="00AD464F">
        <w:t>a été menée avec le pirtobrutinib.</w:t>
      </w:r>
    </w:p>
    <w:p w14:paraId="4560CF3B" w14:textId="77777777" w:rsidR="005E184D" w:rsidRPr="00AD464F" w:rsidRDefault="005E184D" w:rsidP="0018794B">
      <w:pPr>
        <w:spacing w:line="240" w:lineRule="auto"/>
        <w:rPr>
          <w:noProof/>
          <w:szCs w:val="22"/>
        </w:rPr>
      </w:pPr>
    </w:p>
    <w:p w14:paraId="0E2816B1" w14:textId="3FE81E56" w:rsidR="005E184D" w:rsidRPr="00AD464F" w:rsidRDefault="005E184D" w:rsidP="009377E5">
      <w:pPr>
        <w:keepNext/>
        <w:spacing w:line="240" w:lineRule="auto"/>
        <w:rPr>
          <w:noProof/>
          <w:szCs w:val="22"/>
          <w:u w:val="single"/>
        </w:rPr>
      </w:pPr>
      <w:r w:rsidRPr="00AD464F">
        <w:rPr>
          <w:u w:val="single"/>
        </w:rPr>
        <w:t>Embryotoxicité/Tératogénicité</w:t>
      </w:r>
    </w:p>
    <w:p w14:paraId="124CC491" w14:textId="77777777" w:rsidR="005E184D" w:rsidRPr="00AD464F" w:rsidRDefault="005E184D" w:rsidP="009377E5">
      <w:pPr>
        <w:keepNext/>
        <w:spacing w:line="240" w:lineRule="auto"/>
        <w:rPr>
          <w:noProof/>
          <w:szCs w:val="22"/>
        </w:rPr>
      </w:pPr>
    </w:p>
    <w:p w14:paraId="5D12DF1C" w14:textId="3EE0CA95" w:rsidR="005E184D" w:rsidRPr="00AD464F" w:rsidRDefault="005E184D" w:rsidP="009377E5">
      <w:pPr>
        <w:keepNext/>
        <w:spacing w:line="240" w:lineRule="auto"/>
        <w:rPr>
          <w:noProof/>
          <w:szCs w:val="22"/>
        </w:rPr>
      </w:pPr>
      <w:r w:rsidRPr="00AD464F">
        <w:t>Dans les études de reproduction chez l</w:t>
      </w:r>
      <w:r w:rsidR="002530B9">
        <w:t>’</w:t>
      </w:r>
      <w:r w:rsidRPr="00AD464F">
        <w:t>animal, l</w:t>
      </w:r>
      <w:r w:rsidR="002530B9">
        <w:t>’</w:t>
      </w:r>
      <w:r w:rsidRPr="00AD464F">
        <w:t>administration de pirtobrutinib à des rates gravides pendant l</w:t>
      </w:r>
      <w:r w:rsidR="002530B9">
        <w:t>’</w:t>
      </w:r>
      <w:r w:rsidRPr="00AD464F">
        <w:t>organogenèse a entraîné une diminution du poids fœtal, une mortalité embryofœtale et des malformations fœtales à des expositions maternelles 3,0</w:t>
      </w:r>
      <w:r w:rsidR="006C3B20">
        <w:t> </w:t>
      </w:r>
      <w:r w:rsidRPr="00AD464F">
        <w:t>fois supérieures à l</w:t>
      </w:r>
      <w:r w:rsidR="002530B9">
        <w:t>’</w:t>
      </w:r>
      <w:r w:rsidRPr="00AD464F">
        <w:t>exposition humaine à la dose recommandée de 200 mg d’après l</w:t>
      </w:r>
      <w:r w:rsidR="002530B9">
        <w:t>’</w:t>
      </w:r>
      <w:r w:rsidRPr="00AD464F">
        <w:t>ASC.</w:t>
      </w:r>
    </w:p>
    <w:p w14:paraId="5E3DD7F2" w14:textId="77777777" w:rsidR="005E184D" w:rsidRPr="00AD464F" w:rsidRDefault="005E184D" w:rsidP="0018794B">
      <w:pPr>
        <w:spacing w:line="240" w:lineRule="auto"/>
        <w:rPr>
          <w:noProof/>
          <w:szCs w:val="22"/>
        </w:rPr>
      </w:pPr>
    </w:p>
    <w:p w14:paraId="58D3F08A" w14:textId="57077809" w:rsidR="005E184D" w:rsidRPr="00AD464F" w:rsidRDefault="005E184D" w:rsidP="009377E5">
      <w:pPr>
        <w:keepNext/>
        <w:spacing w:line="240" w:lineRule="auto"/>
        <w:rPr>
          <w:noProof/>
          <w:szCs w:val="22"/>
        </w:rPr>
      </w:pPr>
      <w:r w:rsidRPr="00AD464F">
        <w:rPr>
          <w:u w:val="single"/>
        </w:rPr>
        <w:t>Toxicité pour la reproduction</w:t>
      </w:r>
    </w:p>
    <w:p w14:paraId="5494E076" w14:textId="6E73FDFC" w:rsidR="005E184D" w:rsidRPr="00AD464F" w:rsidRDefault="005E184D" w:rsidP="009377E5">
      <w:pPr>
        <w:keepNext/>
        <w:spacing w:line="240" w:lineRule="auto"/>
        <w:rPr>
          <w:noProof/>
          <w:szCs w:val="22"/>
        </w:rPr>
      </w:pPr>
    </w:p>
    <w:p w14:paraId="6A94DF3C" w14:textId="677F857C" w:rsidR="005E184D" w:rsidRPr="00AD464F" w:rsidRDefault="00F55838" w:rsidP="009377E5">
      <w:pPr>
        <w:keepNext/>
        <w:spacing w:line="240" w:lineRule="auto"/>
        <w:rPr>
          <w:noProof/>
          <w:szCs w:val="22"/>
        </w:rPr>
      </w:pPr>
      <w:r>
        <w:t xml:space="preserve">Aucune étude de fertilité </w:t>
      </w:r>
      <w:r w:rsidR="008B2452">
        <w:t>n’a été conduite</w:t>
      </w:r>
      <w:r w:rsidR="00440E71">
        <w:t xml:space="preserve"> avec le pirtobrutinib. </w:t>
      </w:r>
      <w:r w:rsidR="005E184D" w:rsidRPr="00AD464F">
        <w:t>Dans des études de toxicité à doses répétées d</w:t>
      </w:r>
      <w:r w:rsidR="002530B9">
        <w:t>’</w:t>
      </w:r>
      <w:r w:rsidR="005E184D" w:rsidRPr="00AD464F">
        <w:t>une durée allant jusqu</w:t>
      </w:r>
      <w:r w:rsidR="002530B9">
        <w:t>’</w:t>
      </w:r>
      <w:r w:rsidR="005E184D" w:rsidRPr="00AD464F">
        <w:t>à 3</w:t>
      </w:r>
      <w:r w:rsidR="006C3B20">
        <w:t> </w:t>
      </w:r>
      <w:r w:rsidR="005E184D" w:rsidRPr="00AD464F">
        <w:t>mois, le pirtobrutinib n</w:t>
      </w:r>
      <w:r w:rsidR="002530B9">
        <w:t>’</w:t>
      </w:r>
      <w:r w:rsidR="005E184D" w:rsidRPr="00AD464F">
        <w:t>a eu aucun effet sur les organes reproducteurs mâles à des expositions 0,69</w:t>
      </w:r>
      <w:r w:rsidR="002530B9">
        <w:t> </w:t>
      </w:r>
      <w:r w:rsidR="005E184D" w:rsidRPr="00AD464F">
        <w:t>fois et 0,42</w:t>
      </w:r>
      <w:r w:rsidR="002530B9">
        <w:t> </w:t>
      </w:r>
      <w:r w:rsidR="005E184D" w:rsidRPr="00AD464F">
        <w:t>fois supérieures à l</w:t>
      </w:r>
      <w:r w:rsidR="002530B9">
        <w:t>’</w:t>
      </w:r>
      <w:r w:rsidR="005E184D" w:rsidRPr="00AD464F">
        <w:t xml:space="preserve">exposition humaine </w:t>
      </w:r>
      <w:r w:rsidR="00CC100F" w:rsidRPr="00AD464F">
        <w:t xml:space="preserve">respectivement </w:t>
      </w:r>
      <w:r w:rsidR="005E184D" w:rsidRPr="00AD464F">
        <w:t>chez le</w:t>
      </w:r>
      <w:r w:rsidR="007F6404">
        <w:t>s</w:t>
      </w:r>
      <w:r w:rsidR="005E184D" w:rsidRPr="00AD464F">
        <w:t xml:space="preserve"> rat</w:t>
      </w:r>
      <w:r w:rsidR="007F6404">
        <w:t>s</w:t>
      </w:r>
      <w:r w:rsidR="005E184D" w:rsidRPr="00AD464F">
        <w:t xml:space="preserve"> et le</w:t>
      </w:r>
      <w:r w:rsidR="007F6404">
        <w:t>s</w:t>
      </w:r>
      <w:r w:rsidR="005E184D" w:rsidRPr="00AD464F">
        <w:t xml:space="preserve"> chien</w:t>
      </w:r>
      <w:r w:rsidR="00CC100F">
        <w:t>s</w:t>
      </w:r>
      <w:r w:rsidR="005E184D" w:rsidRPr="00AD464F">
        <w:t>, à la dose recommandée de 200 mg d’après l</w:t>
      </w:r>
      <w:r w:rsidR="002530B9">
        <w:t>’</w:t>
      </w:r>
      <w:r w:rsidR="005E184D" w:rsidRPr="00AD464F">
        <w:t>ASC. Le</w:t>
      </w:r>
      <w:r w:rsidR="002A7B65">
        <w:t> </w:t>
      </w:r>
      <w:r w:rsidR="005E184D" w:rsidRPr="00AD464F">
        <w:t>pirtobrutinib n</w:t>
      </w:r>
      <w:r w:rsidR="002530B9">
        <w:t>’</w:t>
      </w:r>
      <w:r w:rsidR="005E184D" w:rsidRPr="00AD464F">
        <w:t>a eu aucun effet sur les organes reproducteurs féminins à des expositions 4,0</w:t>
      </w:r>
      <w:r w:rsidR="002530B9">
        <w:t> </w:t>
      </w:r>
      <w:r w:rsidR="005E184D" w:rsidRPr="00AD464F">
        <w:t>fois et 0,42 fois supérieures à l</w:t>
      </w:r>
      <w:r w:rsidR="002530B9">
        <w:t>’</w:t>
      </w:r>
      <w:r w:rsidR="005E184D" w:rsidRPr="00AD464F">
        <w:t xml:space="preserve">exposition humaine </w:t>
      </w:r>
      <w:r w:rsidR="00CC100F" w:rsidRPr="00AD464F">
        <w:t xml:space="preserve">respectivement </w:t>
      </w:r>
      <w:r w:rsidR="005E184D" w:rsidRPr="00AD464F">
        <w:t>chez le</w:t>
      </w:r>
      <w:r w:rsidR="00616158">
        <w:t>s</w:t>
      </w:r>
      <w:r w:rsidR="005E184D" w:rsidRPr="00AD464F">
        <w:t xml:space="preserve"> rat</w:t>
      </w:r>
      <w:r w:rsidR="00616158">
        <w:t>s</w:t>
      </w:r>
      <w:r w:rsidR="005E184D" w:rsidRPr="00AD464F">
        <w:t xml:space="preserve"> et le</w:t>
      </w:r>
      <w:r w:rsidR="00616158">
        <w:t>s</w:t>
      </w:r>
      <w:r w:rsidR="005E184D" w:rsidRPr="00AD464F">
        <w:t xml:space="preserve"> chien</w:t>
      </w:r>
      <w:r w:rsidR="00616158">
        <w:t>s</w:t>
      </w:r>
      <w:r w:rsidR="005E184D" w:rsidRPr="00AD464F">
        <w:t>.</w:t>
      </w:r>
    </w:p>
    <w:p w14:paraId="536987BE" w14:textId="77777777" w:rsidR="00812D16" w:rsidRPr="00AD464F" w:rsidRDefault="00812D16" w:rsidP="00204AAB">
      <w:pPr>
        <w:spacing w:line="240" w:lineRule="auto"/>
        <w:rPr>
          <w:noProof/>
          <w:szCs w:val="22"/>
        </w:rPr>
      </w:pPr>
    </w:p>
    <w:p w14:paraId="12897937" w14:textId="77777777" w:rsidR="00812D16" w:rsidRPr="00AD464F" w:rsidRDefault="00812D16" w:rsidP="00204AAB">
      <w:pPr>
        <w:spacing w:line="240" w:lineRule="auto"/>
        <w:rPr>
          <w:noProof/>
          <w:szCs w:val="22"/>
        </w:rPr>
      </w:pPr>
    </w:p>
    <w:p w14:paraId="633946CD" w14:textId="42A3DAB6" w:rsidR="00EE39AF" w:rsidRPr="00B74A3B" w:rsidRDefault="00EE39AF" w:rsidP="00EE39AF">
      <w:pPr>
        <w:keepNext/>
        <w:spacing w:line="240" w:lineRule="auto"/>
        <w:ind w:left="567" w:hanging="567"/>
        <w:outlineLvl w:val="0"/>
        <w:rPr>
          <w:b/>
          <w:noProof/>
        </w:rPr>
      </w:pPr>
      <w:r w:rsidRPr="00B74A3B">
        <w:rPr>
          <w:b/>
        </w:rPr>
        <w:t>6.</w:t>
      </w:r>
      <w:r w:rsidRPr="00B74A3B">
        <w:rPr>
          <w:b/>
        </w:rPr>
        <w:tab/>
        <w:t>DONNÉES PHARMACEUTIQUES</w:t>
      </w:r>
      <w:r w:rsidR="00D944F9">
        <w:rPr>
          <w:b/>
        </w:rPr>
        <w:fldChar w:fldCharType="begin"/>
      </w:r>
      <w:r w:rsidR="00D944F9">
        <w:rPr>
          <w:b/>
        </w:rPr>
        <w:instrText xml:space="preserve"> DOCVARIABLE VAULT_ND_58ba98ca-c6f7-43c3-8a8b-14dff730ef41 \* MERGEFORMAT </w:instrText>
      </w:r>
      <w:r w:rsidR="00D944F9">
        <w:rPr>
          <w:b/>
        </w:rPr>
        <w:fldChar w:fldCharType="separate"/>
      </w:r>
      <w:r w:rsidR="00D944F9">
        <w:rPr>
          <w:b/>
        </w:rPr>
        <w:t xml:space="preserve"> </w:t>
      </w:r>
      <w:r w:rsidR="00D944F9">
        <w:rPr>
          <w:b/>
        </w:rPr>
        <w:fldChar w:fldCharType="end"/>
      </w:r>
    </w:p>
    <w:p w14:paraId="275E14D8" w14:textId="77777777" w:rsidR="00EE39AF" w:rsidRPr="00B74A3B" w:rsidRDefault="00EE39AF" w:rsidP="00EE39AF">
      <w:pPr>
        <w:keepNext/>
        <w:spacing w:line="240" w:lineRule="auto"/>
        <w:rPr>
          <w:noProof/>
        </w:rPr>
      </w:pPr>
    </w:p>
    <w:p w14:paraId="5F526B4C" w14:textId="18DF9CAD" w:rsidR="00EE39AF" w:rsidRPr="00B74A3B" w:rsidRDefault="00EE39AF" w:rsidP="00EE39AF">
      <w:pPr>
        <w:keepNext/>
        <w:spacing w:line="240" w:lineRule="auto"/>
        <w:ind w:left="567" w:hanging="567"/>
        <w:outlineLvl w:val="0"/>
        <w:rPr>
          <w:noProof/>
        </w:rPr>
      </w:pPr>
      <w:r w:rsidRPr="00B74A3B">
        <w:rPr>
          <w:b/>
        </w:rPr>
        <w:t>6.1</w:t>
      </w:r>
      <w:r w:rsidRPr="00B74A3B">
        <w:rPr>
          <w:b/>
        </w:rPr>
        <w:tab/>
        <w:t>Liste des excipients</w:t>
      </w:r>
      <w:r w:rsidR="00D944F9">
        <w:rPr>
          <w:b/>
        </w:rPr>
        <w:fldChar w:fldCharType="begin"/>
      </w:r>
      <w:r w:rsidR="00D944F9">
        <w:rPr>
          <w:b/>
        </w:rPr>
        <w:instrText xml:space="preserve"> DOCVARIABLE vault_nd_a80e22f6-b834-4c3f-87a9-dff18ee4a6f0 \* MERGEFORMAT </w:instrText>
      </w:r>
      <w:r w:rsidR="00D944F9">
        <w:rPr>
          <w:b/>
        </w:rPr>
        <w:fldChar w:fldCharType="separate"/>
      </w:r>
      <w:r w:rsidR="00D944F9">
        <w:rPr>
          <w:b/>
        </w:rPr>
        <w:t xml:space="preserve"> </w:t>
      </w:r>
      <w:r w:rsidR="00D944F9">
        <w:rPr>
          <w:b/>
        </w:rPr>
        <w:fldChar w:fldCharType="end"/>
      </w:r>
    </w:p>
    <w:p w14:paraId="56504971" w14:textId="77777777" w:rsidR="00785051" w:rsidRPr="00AD464F" w:rsidRDefault="00785051" w:rsidP="009377E5">
      <w:pPr>
        <w:keepNext/>
        <w:spacing w:line="240" w:lineRule="auto"/>
        <w:rPr>
          <w:noProof/>
          <w:szCs w:val="22"/>
        </w:rPr>
      </w:pPr>
    </w:p>
    <w:p w14:paraId="5EDF9EA8" w14:textId="0607B874" w:rsidR="00D863AC" w:rsidRPr="00AD464F" w:rsidRDefault="00F233C9" w:rsidP="009377E5">
      <w:pPr>
        <w:keepNext/>
        <w:spacing w:line="240" w:lineRule="auto"/>
        <w:rPr>
          <w:noProof/>
          <w:szCs w:val="22"/>
        </w:rPr>
      </w:pPr>
      <w:r w:rsidRPr="00AD464F">
        <w:rPr>
          <w:u w:val="single"/>
        </w:rPr>
        <w:t>Noyau du comprimé</w:t>
      </w:r>
      <w:r w:rsidRPr="00AD464F">
        <w:rPr>
          <w:u w:val="single"/>
        </w:rPr>
        <w:br/>
      </w:r>
      <w:r w:rsidRPr="00AD464F">
        <w:t>Succinate d</w:t>
      </w:r>
      <w:r w:rsidR="002530B9">
        <w:t>’</w:t>
      </w:r>
      <w:r w:rsidRPr="00AD464F">
        <w:t>acétate d</w:t>
      </w:r>
      <w:r w:rsidR="002530B9">
        <w:t>’</w:t>
      </w:r>
      <w:r w:rsidRPr="00AD464F">
        <w:t>hypromellose</w:t>
      </w:r>
    </w:p>
    <w:p w14:paraId="43D67A48" w14:textId="0D004E0F" w:rsidR="00D863AC" w:rsidRPr="00AD464F" w:rsidRDefault="00D863AC" w:rsidP="009377E5">
      <w:pPr>
        <w:keepNext/>
        <w:spacing w:line="240" w:lineRule="auto"/>
        <w:rPr>
          <w:noProof/>
          <w:szCs w:val="22"/>
        </w:rPr>
      </w:pPr>
      <w:r w:rsidRPr="00AD464F">
        <w:t>Cellulose microcristalline</w:t>
      </w:r>
    </w:p>
    <w:p w14:paraId="161E018A" w14:textId="46153C06" w:rsidR="00D863AC" w:rsidRPr="00AD464F" w:rsidRDefault="00D863AC" w:rsidP="009377E5">
      <w:pPr>
        <w:keepNext/>
        <w:spacing w:line="240" w:lineRule="auto"/>
        <w:rPr>
          <w:noProof/>
          <w:szCs w:val="22"/>
        </w:rPr>
      </w:pPr>
      <w:r w:rsidRPr="00AD464F">
        <w:t>Lactose monohydraté</w:t>
      </w:r>
    </w:p>
    <w:p w14:paraId="182DB565" w14:textId="7A8EBDE9" w:rsidR="00D863AC" w:rsidRPr="00AD464F" w:rsidRDefault="00D863AC" w:rsidP="00D863AC">
      <w:pPr>
        <w:spacing w:line="240" w:lineRule="auto"/>
        <w:rPr>
          <w:noProof/>
          <w:szCs w:val="22"/>
        </w:rPr>
      </w:pPr>
      <w:r w:rsidRPr="00AD464F">
        <w:t>Croscarmellose sodique</w:t>
      </w:r>
    </w:p>
    <w:p w14:paraId="2C94A841" w14:textId="055B2971" w:rsidR="00D863AC" w:rsidRPr="00AD464F" w:rsidRDefault="00D863AC" w:rsidP="00D863AC">
      <w:pPr>
        <w:spacing w:line="240" w:lineRule="auto"/>
        <w:rPr>
          <w:noProof/>
          <w:szCs w:val="22"/>
        </w:rPr>
      </w:pPr>
      <w:r w:rsidRPr="00AD464F">
        <w:t>Stéarate de magnésium</w:t>
      </w:r>
    </w:p>
    <w:p w14:paraId="5E0780CE" w14:textId="51BB5508" w:rsidR="00D863AC" w:rsidRPr="00AD464F" w:rsidRDefault="00D863AC" w:rsidP="00D863AC">
      <w:pPr>
        <w:spacing w:line="240" w:lineRule="auto"/>
        <w:rPr>
          <w:noProof/>
          <w:szCs w:val="22"/>
        </w:rPr>
      </w:pPr>
      <w:r w:rsidRPr="00AD464F">
        <w:t>Silice colloïdale hydratée</w:t>
      </w:r>
    </w:p>
    <w:p w14:paraId="4464661F" w14:textId="579635AB" w:rsidR="00F233C9" w:rsidRPr="00AD464F" w:rsidRDefault="00F233C9" w:rsidP="00204AAB">
      <w:pPr>
        <w:spacing w:line="240" w:lineRule="auto"/>
        <w:rPr>
          <w:noProof/>
          <w:szCs w:val="22"/>
        </w:rPr>
      </w:pPr>
    </w:p>
    <w:p w14:paraId="3895D5EF" w14:textId="5BCDEEC1" w:rsidR="00D863AC" w:rsidRPr="00AD464F" w:rsidRDefault="00D863AC" w:rsidP="009377E5">
      <w:pPr>
        <w:keepNext/>
        <w:spacing w:line="240" w:lineRule="auto"/>
        <w:rPr>
          <w:noProof/>
          <w:szCs w:val="22"/>
        </w:rPr>
      </w:pPr>
      <w:r w:rsidRPr="00AD464F">
        <w:rPr>
          <w:u w:val="single"/>
        </w:rPr>
        <w:t>Pelliculage</w:t>
      </w:r>
    </w:p>
    <w:p w14:paraId="1D63309D" w14:textId="77777777" w:rsidR="00B13B2A" w:rsidRPr="00AD464F" w:rsidRDefault="00B13B2A" w:rsidP="009377E5">
      <w:pPr>
        <w:keepNext/>
        <w:spacing w:line="240" w:lineRule="auto"/>
        <w:rPr>
          <w:szCs w:val="22"/>
        </w:rPr>
      </w:pPr>
      <w:r w:rsidRPr="00AD464F">
        <w:t>Hypromellose</w:t>
      </w:r>
    </w:p>
    <w:p w14:paraId="40E4204A" w14:textId="1BC045D8" w:rsidR="00B13B2A" w:rsidRPr="00AD464F" w:rsidRDefault="00B13B2A" w:rsidP="009377E5">
      <w:pPr>
        <w:keepNext/>
        <w:spacing w:line="240" w:lineRule="auto"/>
        <w:rPr>
          <w:szCs w:val="22"/>
        </w:rPr>
      </w:pPr>
      <w:r w:rsidRPr="00AD464F">
        <w:t>Dioxyde de titane</w:t>
      </w:r>
    </w:p>
    <w:p w14:paraId="3208B457" w14:textId="77777777" w:rsidR="00B13B2A" w:rsidRPr="00AD464F" w:rsidRDefault="00B13B2A" w:rsidP="00204AAB">
      <w:pPr>
        <w:spacing w:line="240" w:lineRule="auto"/>
        <w:rPr>
          <w:szCs w:val="22"/>
        </w:rPr>
      </w:pPr>
      <w:r w:rsidRPr="00AD464F">
        <w:t>Triacétine</w:t>
      </w:r>
    </w:p>
    <w:p w14:paraId="064D4373" w14:textId="21BF7AF8" w:rsidR="00D863AC" w:rsidRPr="007606B8" w:rsidRDefault="009A5662" w:rsidP="00204AAB">
      <w:pPr>
        <w:spacing w:line="240" w:lineRule="auto"/>
        <w:rPr>
          <w:szCs w:val="22"/>
        </w:rPr>
      </w:pPr>
      <w:r w:rsidRPr="007606B8">
        <w:t>Carmin d’indigo (E132)</w:t>
      </w:r>
    </w:p>
    <w:p w14:paraId="75944F09" w14:textId="77777777" w:rsidR="00785051" w:rsidRPr="00AD464F" w:rsidRDefault="00785051" w:rsidP="00204AAB">
      <w:pPr>
        <w:spacing w:line="240" w:lineRule="auto"/>
        <w:rPr>
          <w:szCs w:val="22"/>
          <w:lang w:val="es-PR"/>
        </w:rPr>
      </w:pPr>
    </w:p>
    <w:p w14:paraId="477838CA" w14:textId="4E6FA66C" w:rsidR="00A4060C" w:rsidRPr="00B74A3B" w:rsidRDefault="00A4060C" w:rsidP="00A4060C">
      <w:pPr>
        <w:keepNext/>
        <w:spacing w:line="240" w:lineRule="auto"/>
        <w:ind w:left="567" w:hanging="567"/>
        <w:outlineLvl w:val="0"/>
        <w:rPr>
          <w:noProof/>
        </w:rPr>
      </w:pPr>
      <w:r w:rsidRPr="00B74A3B">
        <w:rPr>
          <w:b/>
        </w:rPr>
        <w:t>6.2</w:t>
      </w:r>
      <w:r w:rsidRPr="00B74A3B">
        <w:rPr>
          <w:b/>
        </w:rPr>
        <w:tab/>
        <w:t>Incompatibilités</w:t>
      </w:r>
      <w:r w:rsidR="00D944F9">
        <w:rPr>
          <w:b/>
        </w:rPr>
        <w:fldChar w:fldCharType="begin"/>
      </w:r>
      <w:r w:rsidR="00D944F9">
        <w:rPr>
          <w:b/>
        </w:rPr>
        <w:instrText xml:space="preserve"> DOCVARIABLE vault_nd_7e426985-a7ed-4bb8-8ee4-1c22e0d49d1a \* MERGEFORMAT </w:instrText>
      </w:r>
      <w:r w:rsidR="00D944F9">
        <w:rPr>
          <w:b/>
        </w:rPr>
        <w:fldChar w:fldCharType="separate"/>
      </w:r>
      <w:r w:rsidR="00D944F9">
        <w:rPr>
          <w:b/>
        </w:rPr>
        <w:t xml:space="preserve"> </w:t>
      </w:r>
      <w:r w:rsidR="00D944F9">
        <w:rPr>
          <w:b/>
        </w:rPr>
        <w:fldChar w:fldCharType="end"/>
      </w:r>
    </w:p>
    <w:p w14:paraId="6A278502" w14:textId="77777777" w:rsidR="00A4060C" w:rsidRPr="00B74A3B" w:rsidRDefault="00A4060C" w:rsidP="00A4060C">
      <w:pPr>
        <w:keepNext/>
        <w:spacing w:line="240" w:lineRule="auto"/>
        <w:rPr>
          <w:noProof/>
        </w:rPr>
      </w:pPr>
    </w:p>
    <w:p w14:paraId="09267F96" w14:textId="77777777" w:rsidR="00A4060C" w:rsidRPr="00B74A3B" w:rsidRDefault="00A4060C" w:rsidP="00A4060C">
      <w:pPr>
        <w:keepNext/>
        <w:spacing w:line="240" w:lineRule="auto"/>
        <w:rPr>
          <w:noProof/>
        </w:rPr>
      </w:pPr>
      <w:r w:rsidRPr="00B74A3B">
        <w:t>Sans objet.</w:t>
      </w:r>
    </w:p>
    <w:p w14:paraId="24F95983" w14:textId="77777777" w:rsidR="00A4060C" w:rsidRPr="00B74A3B" w:rsidRDefault="00A4060C" w:rsidP="00A4060C">
      <w:pPr>
        <w:spacing w:line="240" w:lineRule="auto"/>
        <w:rPr>
          <w:noProof/>
        </w:rPr>
      </w:pPr>
    </w:p>
    <w:p w14:paraId="0CEBBD07" w14:textId="0ADC7DF8" w:rsidR="00A4060C" w:rsidRPr="00B74A3B" w:rsidRDefault="00A4060C" w:rsidP="00A4060C">
      <w:pPr>
        <w:keepNext/>
        <w:spacing w:line="240" w:lineRule="auto"/>
        <w:ind w:left="567" w:hanging="567"/>
        <w:outlineLvl w:val="0"/>
        <w:rPr>
          <w:noProof/>
        </w:rPr>
      </w:pPr>
      <w:r w:rsidRPr="00B74A3B">
        <w:rPr>
          <w:b/>
        </w:rPr>
        <w:t>6.3</w:t>
      </w:r>
      <w:r w:rsidRPr="00B74A3B">
        <w:rPr>
          <w:b/>
        </w:rPr>
        <w:tab/>
        <w:t>Durée de conservation</w:t>
      </w:r>
      <w:r w:rsidR="00D944F9">
        <w:rPr>
          <w:b/>
        </w:rPr>
        <w:fldChar w:fldCharType="begin"/>
      </w:r>
      <w:r w:rsidR="00D944F9">
        <w:rPr>
          <w:b/>
        </w:rPr>
        <w:instrText xml:space="preserve"> DOCVARIABLE vault_nd_53d08fc8-062b-4734-aab3-648dc6e58542 \* MERGEFORMAT </w:instrText>
      </w:r>
      <w:r w:rsidR="00D944F9">
        <w:rPr>
          <w:b/>
        </w:rPr>
        <w:fldChar w:fldCharType="separate"/>
      </w:r>
      <w:r w:rsidR="00D944F9">
        <w:rPr>
          <w:b/>
        </w:rPr>
        <w:t xml:space="preserve"> </w:t>
      </w:r>
      <w:r w:rsidR="00D944F9">
        <w:rPr>
          <w:b/>
        </w:rPr>
        <w:fldChar w:fldCharType="end"/>
      </w:r>
    </w:p>
    <w:p w14:paraId="4ABF5F21" w14:textId="77777777" w:rsidR="00A4060C" w:rsidRPr="00B74A3B" w:rsidRDefault="00A4060C" w:rsidP="00A4060C">
      <w:pPr>
        <w:keepNext/>
        <w:spacing w:line="240" w:lineRule="auto"/>
        <w:rPr>
          <w:noProof/>
        </w:rPr>
      </w:pPr>
    </w:p>
    <w:p w14:paraId="2AB14790" w14:textId="29864819" w:rsidR="00A4060C" w:rsidRPr="00B74A3B" w:rsidRDefault="00396E78" w:rsidP="00A4060C">
      <w:pPr>
        <w:keepNext/>
        <w:spacing w:line="240" w:lineRule="auto"/>
        <w:rPr>
          <w:noProof/>
        </w:rPr>
      </w:pPr>
      <w:r>
        <w:t>3 </w:t>
      </w:r>
      <w:r w:rsidR="00A4060C" w:rsidRPr="00B74A3B">
        <w:t>ans.</w:t>
      </w:r>
    </w:p>
    <w:p w14:paraId="6E13193B" w14:textId="77777777" w:rsidR="00A4060C" w:rsidRPr="00B74A3B" w:rsidRDefault="00A4060C" w:rsidP="00A4060C">
      <w:pPr>
        <w:spacing w:line="240" w:lineRule="auto"/>
        <w:rPr>
          <w:noProof/>
        </w:rPr>
      </w:pPr>
    </w:p>
    <w:p w14:paraId="6DBBD5EE" w14:textId="080DB6A8" w:rsidR="00A4060C" w:rsidRPr="00B74A3B" w:rsidRDefault="00A4060C" w:rsidP="00A4060C">
      <w:pPr>
        <w:keepNext/>
        <w:spacing w:line="240" w:lineRule="auto"/>
        <w:ind w:left="567" w:hanging="567"/>
        <w:outlineLvl w:val="0"/>
        <w:rPr>
          <w:b/>
          <w:noProof/>
        </w:rPr>
      </w:pPr>
      <w:r w:rsidRPr="00B74A3B">
        <w:rPr>
          <w:b/>
        </w:rPr>
        <w:t>6.4</w:t>
      </w:r>
      <w:r w:rsidRPr="00B74A3B">
        <w:rPr>
          <w:b/>
        </w:rPr>
        <w:tab/>
        <w:t>Précautions particulières de conservation</w:t>
      </w:r>
      <w:r w:rsidR="00D944F9">
        <w:rPr>
          <w:b/>
        </w:rPr>
        <w:fldChar w:fldCharType="begin"/>
      </w:r>
      <w:r w:rsidR="00D944F9">
        <w:rPr>
          <w:b/>
        </w:rPr>
        <w:instrText xml:space="preserve"> DOCVARIABLE vault_nd_581f5c90-ff68-4b6e-9e2a-45ab964b9a44 \* MERGEFORMAT </w:instrText>
      </w:r>
      <w:r w:rsidR="00D944F9">
        <w:rPr>
          <w:b/>
        </w:rPr>
        <w:fldChar w:fldCharType="separate"/>
      </w:r>
      <w:r w:rsidR="00D944F9">
        <w:rPr>
          <w:b/>
        </w:rPr>
        <w:t xml:space="preserve"> </w:t>
      </w:r>
      <w:r w:rsidR="00D944F9">
        <w:rPr>
          <w:b/>
        </w:rPr>
        <w:fldChar w:fldCharType="end"/>
      </w:r>
    </w:p>
    <w:p w14:paraId="5A0B0212" w14:textId="77777777" w:rsidR="00A4060C" w:rsidRPr="00B74A3B" w:rsidRDefault="00A4060C" w:rsidP="00A4060C">
      <w:pPr>
        <w:keepNext/>
        <w:spacing w:line="240" w:lineRule="auto"/>
      </w:pPr>
    </w:p>
    <w:p w14:paraId="735B5B0E" w14:textId="77777777" w:rsidR="00A4060C" w:rsidRPr="00B74A3B" w:rsidRDefault="00A4060C" w:rsidP="00A4060C">
      <w:pPr>
        <w:keepNext/>
        <w:spacing w:line="240" w:lineRule="auto"/>
        <w:rPr>
          <w:i/>
          <w:noProof/>
        </w:rPr>
      </w:pPr>
      <w:r w:rsidRPr="00B74A3B">
        <w:t>Ce médicament ne nécessite pas de conditions particulières de conservation.</w:t>
      </w:r>
    </w:p>
    <w:p w14:paraId="12C12538" w14:textId="77777777" w:rsidR="00A4060C" w:rsidRPr="00B74A3B" w:rsidRDefault="00A4060C" w:rsidP="00A4060C">
      <w:pPr>
        <w:spacing w:line="240" w:lineRule="auto"/>
        <w:rPr>
          <w:noProof/>
        </w:rPr>
      </w:pPr>
    </w:p>
    <w:p w14:paraId="16BD9602" w14:textId="10CD9862" w:rsidR="00A4060C" w:rsidRPr="00B74A3B" w:rsidRDefault="00A4060C" w:rsidP="00A4060C">
      <w:pPr>
        <w:keepNext/>
        <w:spacing w:line="240" w:lineRule="auto"/>
        <w:outlineLvl w:val="0"/>
        <w:rPr>
          <w:b/>
          <w:noProof/>
        </w:rPr>
      </w:pPr>
      <w:r w:rsidRPr="00B74A3B">
        <w:rPr>
          <w:b/>
        </w:rPr>
        <w:t>6.5</w:t>
      </w:r>
      <w:r w:rsidRPr="00B74A3B">
        <w:rPr>
          <w:b/>
        </w:rPr>
        <w:tab/>
        <w:t>Nature et contenu de l’emballage extérieur</w:t>
      </w:r>
      <w:r w:rsidR="00D944F9">
        <w:rPr>
          <w:b/>
        </w:rPr>
        <w:fldChar w:fldCharType="begin"/>
      </w:r>
      <w:r w:rsidR="00D944F9">
        <w:rPr>
          <w:b/>
        </w:rPr>
        <w:instrText xml:space="preserve"> DOCVARIABLE vault_nd_2413f65c-f1a2-4072-82b5-f9fa1c8c2760 \* MERGEFORMAT </w:instrText>
      </w:r>
      <w:r w:rsidR="00D944F9">
        <w:rPr>
          <w:b/>
        </w:rPr>
        <w:fldChar w:fldCharType="separate"/>
      </w:r>
      <w:r w:rsidR="00D944F9">
        <w:rPr>
          <w:b/>
        </w:rPr>
        <w:t xml:space="preserve"> </w:t>
      </w:r>
      <w:r w:rsidR="00D944F9">
        <w:rPr>
          <w:b/>
        </w:rPr>
        <w:fldChar w:fldCharType="end"/>
      </w:r>
    </w:p>
    <w:p w14:paraId="4C91A2A5" w14:textId="5B7839DD" w:rsidR="00812D16" w:rsidRPr="00A4060C" w:rsidRDefault="00812D16" w:rsidP="006F6362">
      <w:pPr>
        <w:keepNext/>
        <w:spacing w:line="240" w:lineRule="auto"/>
        <w:outlineLvl w:val="0"/>
        <w:rPr>
          <w:b/>
          <w:noProof/>
          <w:szCs w:val="22"/>
          <w:highlight w:val="yellow"/>
        </w:rPr>
      </w:pPr>
    </w:p>
    <w:p w14:paraId="4AE1AF74" w14:textId="0856B50C" w:rsidR="00F431C8" w:rsidRPr="007606B8" w:rsidRDefault="00B5056A" w:rsidP="006F6362">
      <w:pPr>
        <w:keepNext/>
        <w:rPr>
          <w:u w:val="single"/>
        </w:rPr>
      </w:pPr>
      <w:r w:rsidRPr="007606B8">
        <w:rPr>
          <w:u w:val="single"/>
        </w:rPr>
        <w:t xml:space="preserve">Jaypirca 50 mg </w:t>
      </w:r>
      <w:r w:rsidR="00A4060C" w:rsidRPr="007606B8">
        <w:rPr>
          <w:u w:val="single"/>
        </w:rPr>
        <w:t>comprimés pelliculés</w:t>
      </w:r>
      <w:r w:rsidRPr="007606B8">
        <w:rPr>
          <w:u w:val="single"/>
        </w:rPr>
        <w:br/>
      </w:r>
    </w:p>
    <w:p w14:paraId="18CF868B" w14:textId="2570C14F" w:rsidR="00F602C7" w:rsidRPr="00643091" w:rsidRDefault="00A4060C" w:rsidP="006F6362">
      <w:pPr>
        <w:keepNext/>
        <w:rPr>
          <w:noProof/>
          <w:szCs w:val="22"/>
          <w:shd w:val="pct15" w:color="auto" w:fill="FFFFFF"/>
        </w:rPr>
      </w:pPr>
      <w:r w:rsidRPr="00643091">
        <w:t xml:space="preserve">Plaquettes thermoformées en </w:t>
      </w:r>
      <w:r w:rsidR="00A7722E">
        <w:t>p</w:t>
      </w:r>
      <w:r w:rsidR="00F431C8" w:rsidRPr="00643091">
        <w:t>olyvinylchloride/polychlorotrifluoro</w:t>
      </w:r>
      <w:r w:rsidR="00A7722E">
        <w:t>é</w:t>
      </w:r>
      <w:r w:rsidR="00F431C8" w:rsidRPr="00643091">
        <w:t>thyl</w:t>
      </w:r>
      <w:r w:rsidR="00A7722E">
        <w:t>è</w:t>
      </w:r>
      <w:r w:rsidR="00F431C8" w:rsidRPr="00643091">
        <w:t xml:space="preserve">ne </w:t>
      </w:r>
      <w:r w:rsidR="000713F8" w:rsidRPr="00643091">
        <w:t>scellées avec une feuille d’aluminium dans des boîtes de</w:t>
      </w:r>
      <w:r w:rsidR="00F431C8" w:rsidRPr="00643091">
        <w:t xml:space="preserve"> 28, 30 o</w:t>
      </w:r>
      <w:r w:rsidR="000713F8" w:rsidRPr="00643091">
        <w:t>u</w:t>
      </w:r>
      <w:r w:rsidR="00F431C8" w:rsidRPr="00643091">
        <w:t xml:space="preserve"> 84 </w:t>
      </w:r>
      <w:r w:rsidR="000713F8" w:rsidRPr="00643091">
        <w:t>comprimés pelliculés</w:t>
      </w:r>
      <w:r w:rsidR="00F431C8" w:rsidRPr="00643091">
        <w:t>.</w:t>
      </w:r>
    </w:p>
    <w:p w14:paraId="6D5AD916" w14:textId="77777777" w:rsidR="00F431C8" w:rsidRPr="00643091" w:rsidRDefault="00F431C8" w:rsidP="00F431C8"/>
    <w:p w14:paraId="514702FF" w14:textId="028383D0" w:rsidR="00F431C8" w:rsidRPr="00643091" w:rsidRDefault="00B5056A" w:rsidP="00F431C8">
      <w:pPr>
        <w:rPr>
          <w:u w:val="single"/>
        </w:rPr>
      </w:pPr>
      <w:r w:rsidRPr="00643091">
        <w:rPr>
          <w:u w:val="single"/>
        </w:rPr>
        <w:t xml:space="preserve">Jaypirca 100 mg </w:t>
      </w:r>
      <w:r w:rsidR="000713F8" w:rsidRPr="00643091">
        <w:rPr>
          <w:u w:val="single"/>
        </w:rPr>
        <w:t>comprimés pelliculés</w:t>
      </w:r>
      <w:r w:rsidRPr="00643091">
        <w:rPr>
          <w:u w:val="single"/>
        </w:rPr>
        <w:br/>
      </w:r>
    </w:p>
    <w:p w14:paraId="2CB8E6D6" w14:textId="23F20E3E" w:rsidR="00D3667D" w:rsidRPr="00643091" w:rsidRDefault="00643091" w:rsidP="009706B3">
      <w:pPr>
        <w:rPr>
          <w:bCs/>
          <w:noProof/>
          <w:szCs w:val="22"/>
        </w:rPr>
      </w:pPr>
      <w:r w:rsidRPr="00643091">
        <w:t xml:space="preserve">Plaquettes thermoformées en </w:t>
      </w:r>
      <w:r w:rsidR="00A7722E">
        <w:t>p</w:t>
      </w:r>
      <w:r w:rsidRPr="00643091">
        <w:t>olyvinylchloride/polychlorotrifluoro</w:t>
      </w:r>
      <w:r w:rsidR="00A7722E">
        <w:t>é</w:t>
      </w:r>
      <w:r w:rsidRPr="00643091">
        <w:t>thyl</w:t>
      </w:r>
      <w:r w:rsidR="00A7722E">
        <w:t>è</w:t>
      </w:r>
      <w:r w:rsidRPr="00643091">
        <w:t xml:space="preserve">ne scellées avec une feuille d’aluminium dans des boîtes de </w:t>
      </w:r>
      <w:r w:rsidR="00F431C8" w:rsidRPr="00643091">
        <w:t xml:space="preserve">28, 30, 56, 60, 84 </w:t>
      </w:r>
      <w:r w:rsidR="002530B9">
        <w:t>ou</w:t>
      </w:r>
      <w:r w:rsidR="002530B9" w:rsidRPr="00643091">
        <w:t xml:space="preserve"> </w:t>
      </w:r>
      <w:r w:rsidR="00F431C8" w:rsidRPr="00643091">
        <w:t>168 </w:t>
      </w:r>
      <w:r w:rsidRPr="00643091">
        <w:t>comprimés pelliculés</w:t>
      </w:r>
      <w:r w:rsidR="00F431C8" w:rsidRPr="00643091">
        <w:t xml:space="preserve">. </w:t>
      </w:r>
    </w:p>
    <w:p w14:paraId="6EE62F59" w14:textId="3D3DA3AC" w:rsidR="00A05006" w:rsidRPr="00643091" w:rsidRDefault="00A05006" w:rsidP="00204AAB">
      <w:pPr>
        <w:spacing w:line="240" w:lineRule="auto"/>
        <w:outlineLvl w:val="0"/>
        <w:rPr>
          <w:bCs/>
          <w:noProof/>
          <w:szCs w:val="22"/>
          <w:highlight w:val="yellow"/>
        </w:rPr>
      </w:pPr>
    </w:p>
    <w:p w14:paraId="5F6C1B21" w14:textId="77777777" w:rsidR="00643091" w:rsidRPr="00B74A3B" w:rsidRDefault="00643091" w:rsidP="00643091">
      <w:pPr>
        <w:spacing w:line="240" w:lineRule="auto"/>
        <w:rPr>
          <w:noProof/>
        </w:rPr>
      </w:pPr>
      <w:r w:rsidRPr="00B74A3B">
        <w:t>Toutes les présentations peuvent ne pas être commercialisées.</w:t>
      </w:r>
    </w:p>
    <w:p w14:paraId="51599C7A" w14:textId="77777777" w:rsidR="00643091" w:rsidRPr="00B74A3B" w:rsidRDefault="00643091" w:rsidP="00643091">
      <w:pPr>
        <w:spacing w:line="240" w:lineRule="auto"/>
        <w:rPr>
          <w:noProof/>
        </w:rPr>
      </w:pPr>
    </w:p>
    <w:p w14:paraId="75D4C5D7" w14:textId="2DD0BA43" w:rsidR="00643091" w:rsidRPr="00B74A3B" w:rsidRDefault="00643091" w:rsidP="00643091">
      <w:pPr>
        <w:keepNext/>
        <w:spacing w:line="240" w:lineRule="auto"/>
        <w:ind w:left="567" w:hanging="567"/>
        <w:outlineLvl w:val="0"/>
        <w:rPr>
          <w:noProof/>
        </w:rPr>
      </w:pPr>
      <w:bookmarkStart w:id="6" w:name="OLE_LINK1"/>
      <w:r w:rsidRPr="00B74A3B">
        <w:rPr>
          <w:b/>
        </w:rPr>
        <w:t>6.6</w:t>
      </w:r>
      <w:r w:rsidRPr="00B74A3B">
        <w:rPr>
          <w:b/>
        </w:rPr>
        <w:tab/>
        <w:t>Précautions particulières d’élimination</w:t>
      </w:r>
      <w:r w:rsidR="00D944F9">
        <w:rPr>
          <w:b/>
        </w:rPr>
        <w:fldChar w:fldCharType="begin"/>
      </w:r>
      <w:r w:rsidR="00D944F9">
        <w:rPr>
          <w:b/>
        </w:rPr>
        <w:instrText xml:space="preserve"> DOCVARIABLE vault_nd_703fdbc4-18f3-43cb-bff7-8f9e899779e9 \* MERGEFORMAT </w:instrText>
      </w:r>
      <w:r w:rsidR="00D944F9">
        <w:rPr>
          <w:b/>
        </w:rPr>
        <w:fldChar w:fldCharType="separate"/>
      </w:r>
      <w:r w:rsidR="00D944F9">
        <w:rPr>
          <w:b/>
        </w:rPr>
        <w:t xml:space="preserve"> </w:t>
      </w:r>
      <w:r w:rsidR="00D944F9">
        <w:rPr>
          <w:b/>
        </w:rPr>
        <w:fldChar w:fldCharType="end"/>
      </w:r>
    </w:p>
    <w:p w14:paraId="7EB6BAEB" w14:textId="77777777" w:rsidR="00643091" w:rsidRPr="00B74A3B" w:rsidRDefault="00643091" w:rsidP="00643091">
      <w:pPr>
        <w:keepNext/>
        <w:spacing w:line="240" w:lineRule="auto"/>
        <w:rPr>
          <w:noProof/>
        </w:rPr>
      </w:pPr>
    </w:p>
    <w:p w14:paraId="432DC647" w14:textId="77777777" w:rsidR="00643091" w:rsidRPr="00B74A3B" w:rsidRDefault="00643091" w:rsidP="00643091">
      <w:pPr>
        <w:keepNext/>
        <w:spacing w:line="240" w:lineRule="auto"/>
      </w:pPr>
      <w:r w:rsidRPr="00B74A3B">
        <w:t>Tout médicament non utilisé ou déchet doit être éliminé conformément à la réglementation en vigueur.</w:t>
      </w:r>
    </w:p>
    <w:bookmarkEnd w:id="6"/>
    <w:p w14:paraId="4E1C63D7" w14:textId="77777777" w:rsidR="00643091" w:rsidRPr="00B74A3B" w:rsidRDefault="00643091" w:rsidP="00643091">
      <w:pPr>
        <w:spacing w:line="240" w:lineRule="auto"/>
      </w:pPr>
    </w:p>
    <w:p w14:paraId="322F04F9" w14:textId="77777777" w:rsidR="00643091" w:rsidRPr="00B74A3B" w:rsidRDefault="00643091" w:rsidP="00643091">
      <w:pPr>
        <w:spacing w:line="240" w:lineRule="auto"/>
        <w:rPr>
          <w:noProof/>
        </w:rPr>
      </w:pPr>
    </w:p>
    <w:p w14:paraId="50DEA471" w14:textId="77777777" w:rsidR="00643091" w:rsidRPr="00B74A3B" w:rsidRDefault="00643091" w:rsidP="00643091">
      <w:pPr>
        <w:keepNext/>
        <w:spacing w:line="240" w:lineRule="auto"/>
        <w:ind w:left="930" w:hanging="930"/>
        <w:rPr>
          <w:b/>
          <w:lang w:eastAsia="fr-FR" w:bidi="fr-FR"/>
        </w:rPr>
      </w:pPr>
      <w:r w:rsidRPr="00B74A3B">
        <w:rPr>
          <w:b/>
          <w:lang w:eastAsia="fr-FR" w:bidi="fr-FR"/>
        </w:rPr>
        <w:t>7.</w:t>
      </w:r>
      <w:r w:rsidRPr="00B74A3B">
        <w:rPr>
          <w:b/>
          <w:lang w:eastAsia="fr-FR" w:bidi="fr-FR"/>
        </w:rPr>
        <w:tab/>
        <w:t>TITULAIRE DE L’AUTORISATION DE MISE SUR LE MARCHÉ</w:t>
      </w:r>
    </w:p>
    <w:p w14:paraId="27FE183B" w14:textId="77777777" w:rsidR="00812D16" w:rsidRPr="00643091" w:rsidRDefault="00812D16" w:rsidP="006F6362">
      <w:pPr>
        <w:keepNext/>
        <w:spacing w:line="240" w:lineRule="auto"/>
        <w:rPr>
          <w:noProof/>
          <w:szCs w:val="22"/>
        </w:rPr>
      </w:pPr>
    </w:p>
    <w:p w14:paraId="5D0CF7F2" w14:textId="77777777" w:rsidR="009B08D7" w:rsidRPr="00493F94" w:rsidRDefault="009B08D7" w:rsidP="006F6362">
      <w:pPr>
        <w:keepNext/>
        <w:spacing w:line="240" w:lineRule="auto"/>
        <w:rPr>
          <w:szCs w:val="22"/>
          <w:lang w:val="sv-SE"/>
        </w:rPr>
      </w:pPr>
      <w:r w:rsidRPr="00493F94">
        <w:rPr>
          <w:lang w:val="sv-SE"/>
        </w:rPr>
        <w:t>Eli Lilly Nederland B.V.</w:t>
      </w:r>
    </w:p>
    <w:p w14:paraId="5590EFFB" w14:textId="77777777" w:rsidR="009B08D7" w:rsidRPr="00642E07" w:rsidRDefault="009B08D7" w:rsidP="006F6362">
      <w:pPr>
        <w:keepNext/>
        <w:spacing w:line="240" w:lineRule="auto"/>
        <w:rPr>
          <w:szCs w:val="22"/>
          <w:lang w:val="nl-NL"/>
        </w:rPr>
      </w:pPr>
      <w:r w:rsidRPr="00642E07">
        <w:rPr>
          <w:lang w:val="nl-NL"/>
        </w:rPr>
        <w:t>Papendorpseweg 83</w:t>
      </w:r>
    </w:p>
    <w:p w14:paraId="34534DB2" w14:textId="4C182F35" w:rsidR="009B08D7" w:rsidRPr="00642E07" w:rsidRDefault="009B08D7" w:rsidP="009B08D7">
      <w:pPr>
        <w:spacing w:line="240" w:lineRule="auto"/>
        <w:rPr>
          <w:szCs w:val="22"/>
          <w:lang w:val="nl-NL"/>
        </w:rPr>
      </w:pPr>
      <w:r w:rsidRPr="00642E07">
        <w:rPr>
          <w:lang w:val="nl-NL"/>
        </w:rPr>
        <w:t>3528 BJ Utrecht</w:t>
      </w:r>
    </w:p>
    <w:p w14:paraId="28760D5F" w14:textId="640048E6" w:rsidR="00812D16" w:rsidRPr="00F85AA8" w:rsidRDefault="00643091" w:rsidP="009B08D7">
      <w:pPr>
        <w:spacing w:line="240" w:lineRule="auto"/>
        <w:rPr>
          <w:szCs w:val="22"/>
        </w:rPr>
      </w:pPr>
      <w:r w:rsidRPr="00F85AA8">
        <w:t>Pays-Bas</w:t>
      </w:r>
    </w:p>
    <w:p w14:paraId="5A2FB7CD" w14:textId="77777777" w:rsidR="009B08D7" w:rsidRPr="00F85AA8" w:rsidRDefault="009B08D7" w:rsidP="009B08D7">
      <w:pPr>
        <w:spacing w:line="240" w:lineRule="auto"/>
        <w:rPr>
          <w:noProof/>
          <w:szCs w:val="22"/>
        </w:rPr>
      </w:pPr>
    </w:p>
    <w:p w14:paraId="53EBC72F" w14:textId="77777777" w:rsidR="00812D16" w:rsidRPr="00F85AA8" w:rsidRDefault="00812D16" w:rsidP="00204AAB">
      <w:pPr>
        <w:spacing w:line="240" w:lineRule="auto"/>
        <w:rPr>
          <w:noProof/>
          <w:szCs w:val="22"/>
          <w:highlight w:val="yellow"/>
        </w:rPr>
      </w:pPr>
    </w:p>
    <w:p w14:paraId="1CD647C9" w14:textId="77777777" w:rsidR="00F85AA8" w:rsidRPr="00B74A3B" w:rsidRDefault="00F85AA8" w:rsidP="00F85AA8">
      <w:pPr>
        <w:keepNext/>
        <w:spacing w:line="240" w:lineRule="auto"/>
        <w:ind w:left="930" w:hanging="930"/>
        <w:rPr>
          <w:b/>
          <w:lang w:eastAsia="fr-FR" w:bidi="fr-FR"/>
        </w:rPr>
      </w:pPr>
      <w:r w:rsidRPr="00B74A3B">
        <w:rPr>
          <w:b/>
          <w:lang w:eastAsia="fr-FR" w:bidi="fr-FR"/>
        </w:rPr>
        <w:t>8.</w:t>
      </w:r>
      <w:r w:rsidRPr="00B74A3B">
        <w:rPr>
          <w:b/>
          <w:lang w:eastAsia="fr-FR" w:bidi="fr-FR"/>
        </w:rPr>
        <w:tab/>
        <w:t xml:space="preserve">NUMÉRO(S) D’AUTORISATION DE MISE SUR LE MARCHÉ </w:t>
      </w:r>
    </w:p>
    <w:p w14:paraId="543AB674" w14:textId="77777777" w:rsidR="00812D16" w:rsidRPr="00F85AA8" w:rsidRDefault="00812D16" w:rsidP="00204AAB">
      <w:pPr>
        <w:spacing w:line="240" w:lineRule="auto"/>
        <w:rPr>
          <w:noProof/>
          <w:szCs w:val="22"/>
          <w:highlight w:val="yellow"/>
        </w:rPr>
      </w:pPr>
    </w:p>
    <w:p w14:paraId="70B7BC0A" w14:textId="77777777" w:rsidR="00052632" w:rsidRPr="000D7AB9" w:rsidRDefault="00052632" w:rsidP="00052632">
      <w:pPr>
        <w:spacing w:line="240" w:lineRule="auto"/>
        <w:rPr>
          <w:noProof/>
          <w:szCs w:val="22"/>
          <w:lang w:val="es-ES"/>
        </w:rPr>
      </w:pPr>
      <w:r w:rsidRPr="000D7AB9">
        <w:rPr>
          <w:noProof/>
          <w:szCs w:val="22"/>
          <w:lang w:val="es-ES"/>
        </w:rPr>
        <w:t>EU/1/23/1738/001</w:t>
      </w:r>
    </w:p>
    <w:p w14:paraId="53B5D187" w14:textId="77777777" w:rsidR="00052632" w:rsidRPr="000D7AB9" w:rsidRDefault="00052632" w:rsidP="00052632">
      <w:pPr>
        <w:spacing w:line="240" w:lineRule="auto"/>
        <w:rPr>
          <w:noProof/>
          <w:szCs w:val="22"/>
          <w:lang w:val="es-ES"/>
        </w:rPr>
      </w:pPr>
      <w:r w:rsidRPr="000D7AB9">
        <w:rPr>
          <w:noProof/>
          <w:szCs w:val="22"/>
          <w:lang w:val="es-ES"/>
        </w:rPr>
        <w:t>EU/1/23/1738/002</w:t>
      </w:r>
    </w:p>
    <w:p w14:paraId="013418AA" w14:textId="77777777" w:rsidR="00052632" w:rsidRPr="000D7AB9" w:rsidRDefault="00052632" w:rsidP="00052632">
      <w:pPr>
        <w:spacing w:line="240" w:lineRule="auto"/>
        <w:rPr>
          <w:noProof/>
          <w:szCs w:val="22"/>
          <w:lang w:val="es-ES"/>
        </w:rPr>
      </w:pPr>
      <w:r w:rsidRPr="000D7AB9">
        <w:rPr>
          <w:noProof/>
          <w:szCs w:val="22"/>
          <w:lang w:val="es-ES"/>
        </w:rPr>
        <w:t>EU/1/23/1738/003</w:t>
      </w:r>
    </w:p>
    <w:p w14:paraId="46A2E575" w14:textId="77777777" w:rsidR="00052632" w:rsidRPr="000D7AB9" w:rsidRDefault="00052632" w:rsidP="00052632">
      <w:pPr>
        <w:spacing w:line="240" w:lineRule="auto"/>
        <w:rPr>
          <w:noProof/>
          <w:szCs w:val="22"/>
          <w:lang w:val="es-ES"/>
        </w:rPr>
      </w:pPr>
      <w:r w:rsidRPr="000D7AB9">
        <w:rPr>
          <w:noProof/>
          <w:szCs w:val="22"/>
          <w:lang w:val="es-ES"/>
        </w:rPr>
        <w:t>EU/1/23/1738/004</w:t>
      </w:r>
    </w:p>
    <w:p w14:paraId="7249A014" w14:textId="77777777" w:rsidR="00052632" w:rsidRPr="000D7AB9" w:rsidRDefault="00052632" w:rsidP="00052632">
      <w:pPr>
        <w:spacing w:line="240" w:lineRule="auto"/>
        <w:rPr>
          <w:noProof/>
          <w:szCs w:val="22"/>
          <w:lang w:val="es-ES"/>
        </w:rPr>
      </w:pPr>
      <w:r w:rsidRPr="000D7AB9">
        <w:rPr>
          <w:noProof/>
          <w:szCs w:val="22"/>
          <w:lang w:val="es-ES"/>
        </w:rPr>
        <w:t>EU/1/23/1738/005</w:t>
      </w:r>
    </w:p>
    <w:p w14:paraId="0D8F1E1F" w14:textId="77777777" w:rsidR="00052632" w:rsidRPr="002036F7" w:rsidRDefault="00052632" w:rsidP="00052632">
      <w:pPr>
        <w:spacing w:line="240" w:lineRule="auto"/>
        <w:rPr>
          <w:noProof/>
          <w:szCs w:val="22"/>
        </w:rPr>
      </w:pPr>
      <w:r w:rsidRPr="002036F7">
        <w:rPr>
          <w:noProof/>
          <w:szCs w:val="22"/>
        </w:rPr>
        <w:t>EU/1/23/1738/006</w:t>
      </w:r>
    </w:p>
    <w:p w14:paraId="468352AB" w14:textId="77777777" w:rsidR="00052632" w:rsidRPr="002036F7" w:rsidRDefault="00052632" w:rsidP="00052632">
      <w:pPr>
        <w:spacing w:line="240" w:lineRule="auto"/>
        <w:rPr>
          <w:noProof/>
          <w:szCs w:val="22"/>
        </w:rPr>
      </w:pPr>
      <w:r w:rsidRPr="002036F7">
        <w:rPr>
          <w:noProof/>
          <w:szCs w:val="22"/>
        </w:rPr>
        <w:t>EU/1/23/1738/007</w:t>
      </w:r>
    </w:p>
    <w:p w14:paraId="370747EF" w14:textId="77777777" w:rsidR="00052632" w:rsidRPr="002036F7" w:rsidRDefault="00052632" w:rsidP="00052632">
      <w:pPr>
        <w:spacing w:line="240" w:lineRule="auto"/>
        <w:rPr>
          <w:noProof/>
          <w:szCs w:val="22"/>
        </w:rPr>
      </w:pPr>
      <w:r w:rsidRPr="002036F7">
        <w:rPr>
          <w:noProof/>
          <w:szCs w:val="22"/>
        </w:rPr>
        <w:t>EU/1/23/1738/008</w:t>
      </w:r>
    </w:p>
    <w:p w14:paraId="6B767241" w14:textId="018F56AA" w:rsidR="00812D16" w:rsidRDefault="00052632" w:rsidP="00052632">
      <w:pPr>
        <w:spacing w:line="240" w:lineRule="auto"/>
        <w:rPr>
          <w:noProof/>
          <w:szCs w:val="22"/>
        </w:rPr>
      </w:pPr>
      <w:r w:rsidRPr="002036F7">
        <w:rPr>
          <w:noProof/>
          <w:szCs w:val="22"/>
        </w:rPr>
        <w:t>EU/1/23/1738/009</w:t>
      </w:r>
    </w:p>
    <w:p w14:paraId="72FC6EAD" w14:textId="7CA561D6" w:rsidR="00052632" w:rsidRDefault="00052632" w:rsidP="00052632">
      <w:pPr>
        <w:spacing w:line="240" w:lineRule="auto"/>
        <w:rPr>
          <w:noProof/>
          <w:szCs w:val="22"/>
          <w:highlight w:val="yellow"/>
        </w:rPr>
      </w:pPr>
    </w:p>
    <w:p w14:paraId="6FA74EF1" w14:textId="77777777" w:rsidR="002530B9" w:rsidRPr="00F85AA8" w:rsidRDefault="002530B9" w:rsidP="00052632">
      <w:pPr>
        <w:spacing w:line="240" w:lineRule="auto"/>
        <w:rPr>
          <w:noProof/>
          <w:szCs w:val="22"/>
          <w:highlight w:val="yellow"/>
        </w:rPr>
      </w:pPr>
    </w:p>
    <w:p w14:paraId="538532C5" w14:textId="77777777" w:rsidR="007942FB" w:rsidRPr="00B74A3B" w:rsidRDefault="007942FB" w:rsidP="007942FB">
      <w:pPr>
        <w:keepNext/>
        <w:spacing w:line="240" w:lineRule="auto"/>
        <w:ind w:left="567" w:hanging="567"/>
        <w:rPr>
          <w:b/>
          <w:lang w:eastAsia="fr-FR" w:bidi="fr-FR"/>
        </w:rPr>
      </w:pPr>
      <w:r w:rsidRPr="00B74A3B">
        <w:rPr>
          <w:b/>
          <w:lang w:eastAsia="fr-FR" w:bidi="fr-FR"/>
        </w:rPr>
        <w:t>9.</w:t>
      </w:r>
      <w:r w:rsidRPr="00B74A3B">
        <w:rPr>
          <w:b/>
          <w:lang w:eastAsia="fr-FR" w:bidi="fr-FR"/>
        </w:rPr>
        <w:tab/>
        <w:t>DATE DE PREMIÈRE AUTORISATION/DE RENOUVELLEMENT DE L’AUTORISATION</w:t>
      </w:r>
    </w:p>
    <w:p w14:paraId="4FA0E478" w14:textId="77777777" w:rsidR="00812D16" w:rsidRDefault="00812D16" w:rsidP="00204AAB">
      <w:pPr>
        <w:spacing w:line="240" w:lineRule="auto"/>
        <w:rPr>
          <w:noProof/>
          <w:szCs w:val="22"/>
          <w:highlight w:val="yellow"/>
        </w:rPr>
      </w:pPr>
    </w:p>
    <w:p w14:paraId="64F9FEF6" w14:textId="72E8A149" w:rsidR="0008590E" w:rsidRDefault="0008590E" w:rsidP="00204AAB">
      <w:pPr>
        <w:spacing w:line="240" w:lineRule="auto"/>
        <w:rPr>
          <w:noProof/>
        </w:rPr>
      </w:pPr>
      <w:r w:rsidRPr="00B74A3B">
        <w:rPr>
          <w:noProof/>
        </w:rPr>
        <w:t xml:space="preserve">Date de première autorisation : </w:t>
      </w:r>
      <w:r>
        <w:rPr>
          <w:noProof/>
        </w:rPr>
        <w:t>30 octobre 2023</w:t>
      </w:r>
    </w:p>
    <w:p w14:paraId="0B0218D5" w14:textId="07CB8A68" w:rsidR="004971E3" w:rsidRDefault="00371253" w:rsidP="00204AAB">
      <w:pPr>
        <w:spacing w:line="240" w:lineRule="auto"/>
        <w:rPr>
          <w:noProof/>
        </w:rPr>
      </w:pPr>
      <w:r>
        <w:t>Date</w:t>
      </w:r>
      <w:r w:rsidRPr="00A302F5">
        <w:t xml:space="preserve"> </w:t>
      </w:r>
      <w:r>
        <w:t>du dernier renouvellement :</w:t>
      </w:r>
      <w:r w:rsidR="00250004">
        <w:t xml:space="preserve"> 16 août 2024</w:t>
      </w:r>
    </w:p>
    <w:p w14:paraId="07CE3F1E" w14:textId="77777777" w:rsidR="0008590E" w:rsidRPr="007942FB" w:rsidRDefault="0008590E" w:rsidP="00204AAB">
      <w:pPr>
        <w:spacing w:line="240" w:lineRule="auto"/>
        <w:rPr>
          <w:noProof/>
          <w:szCs w:val="22"/>
          <w:highlight w:val="yellow"/>
        </w:rPr>
      </w:pPr>
    </w:p>
    <w:p w14:paraId="6A69B0EC" w14:textId="77777777" w:rsidR="00812D16" w:rsidRPr="007942FB" w:rsidRDefault="00812D16" w:rsidP="00204AAB">
      <w:pPr>
        <w:spacing w:line="240" w:lineRule="auto"/>
        <w:rPr>
          <w:noProof/>
          <w:szCs w:val="22"/>
          <w:highlight w:val="yellow"/>
        </w:rPr>
      </w:pPr>
    </w:p>
    <w:p w14:paraId="5FA9B07F" w14:textId="7C8DE8A8" w:rsidR="00092880" w:rsidRPr="00B74A3B" w:rsidRDefault="00092880" w:rsidP="00092880">
      <w:pPr>
        <w:keepNext/>
        <w:spacing w:line="240" w:lineRule="auto"/>
        <w:ind w:left="930" w:hanging="930"/>
        <w:rPr>
          <w:b/>
          <w:lang w:eastAsia="fr-FR" w:bidi="fr-FR"/>
        </w:rPr>
      </w:pPr>
      <w:r w:rsidRPr="00B74A3B">
        <w:rPr>
          <w:b/>
          <w:lang w:eastAsia="fr-FR" w:bidi="fr-FR"/>
        </w:rPr>
        <w:t>10.</w:t>
      </w:r>
      <w:r w:rsidRPr="00B74A3B">
        <w:rPr>
          <w:b/>
          <w:lang w:eastAsia="fr-FR" w:bidi="fr-FR"/>
        </w:rPr>
        <w:tab/>
        <w:t>DATE DE MISE À JOUR DU TEXTE</w:t>
      </w:r>
      <w:r w:rsidR="00E41886">
        <w:rPr>
          <w:b/>
          <w:lang w:eastAsia="fr-FR" w:bidi="fr-FR"/>
        </w:rPr>
        <w:t> : 28MAR2025.</w:t>
      </w:r>
    </w:p>
    <w:p w14:paraId="0BE4E28A" w14:textId="77777777" w:rsidR="00092880" w:rsidRPr="00B74A3B" w:rsidRDefault="00092880" w:rsidP="00092880">
      <w:pPr>
        <w:spacing w:line="240" w:lineRule="auto"/>
        <w:rPr>
          <w:noProof/>
        </w:rPr>
      </w:pPr>
    </w:p>
    <w:p w14:paraId="66D378E9" w14:textId="77777777" w:rsidR="00092880" w:rsidRPr="00B74A3B" w:rsidRDefault="00092880" w:rsidP="00092880">
      <w:pPr>
        <w:numPr>
          <w:ilvl w:val="12"/>
          <w:numId w:val="0"/>
        </w:numPr>
        <w:spacing w:line="240" w:lineRule="auto"/>
        <w:ind w:right="-2"/>
      </w:pPr>
    </w:p>
    <w:p w14:paraId="59D26600" w14:textId="77777777" w:rsidR="00092880" w:rsidRPr="00B74A3B" w:rsidRDefault="00092880" w:rsidP="00092880">
      <w:pPr>
        <w:numPr>
          <w:ilvl w:val="12"/>
          <w:numId w:val="0"/>
        </w:numPr>
        <w:spacing w:line="240" w:lineRule="auto"/>
        <w:ind w:right="-2"/>
      </w:pPr>
    </w:p>
    <w:p w14:paraId="5DA73F01" w14:textId="65784EDE" w:rsidR="00EA307F" w:rsidRPr="004A0B76" w:rsidRDefault="00092880" w:rsidP="006A0A1B">
      <w:pPr>
        <w:numPr>
          <w:ilvl w:val="12"/>
          <w:numId w:val="0"/>
        </w:numPr>
        <w:spacing w:line="240" w:lineRule="auto"/>
        <w:ind w:right="-2"/>
        <w:rPr>
          <w:szCs w:val="22"/>
        </w:rPr>
      </w:pPr>
      <w:r w:rsidRPr="00B74A3B">
        <w:t xml:space="preserve">Des informations détaillées sur ce médicament sont disponibles sur le site internet de l’Agence européenne des médicaments </w:t>
      </w:r>
      <w:hyperlink r:id="rId13" w:history="1">
        <w:r w:rsidR="00231B7D" w:rsidRPr="00C03E71">
          <w:rPr>
            <w:rStyle w:val="Hyperlink"/>
          </w:rPr>
          <w:t>https://www.ema.europa.eu</w:t>
        </w:r>
      </w:hyperlink>
      <w:r w:rsidRPr="00B74A3B">
        <w:rPr>
          <w:color w:val="0000FF"/>
          <w:u w:val="single"/>
        </w:rPr>
        <w:t>/</w:t>
      </w:r>
      <w:r w:rsidR="00EA307F" w:rsidRPr="004A0B76">
        <w:rPr>
          <w:szCs w:val="22"/>
        </w:rPr>
        <w:t xml:space="preserve"> </w:t>
      </w:r>
    </w:p>
    <w:p w14:paraId="06FB119D" w14:textId="77777777" w:rsidR="00812D16" w:rsidRDefault="00812D16" w:rsidP="00DA0C2A">
      <w:pPr>
        <w:numPr>
          <w:ilvl w:val="12"/>
          <w:numId w:val="0"/>
        </w:numPr>
        <w:tabs>
          <w:tab w:val="clear" w:pos="567"/>
        </w:tabs>
        <w:spacing w:line="240" w:lineRule="auto"/>
        <w:ind w:right="-2"/>
        <w:rPr>
          <w:noProof/>
        </w:rPr>
      </w:pPr>
    </w:p>
    <w:p w14:paraId="520BF653" w14:textId="77777777" w:rsidR="00D11CA1" w:rsidRPr="00D11CA1" w:rsidRDefault="00D11CA1" w:rsidP="00D11CA1">
      <w:pPr>
        <w:rPr>
          <w:lang w:val="fr-BE"/>
        </w:rPr>
      </w:pPr>
      <w:r w:rsidRPr="00D11CA1">
        <w:rPr>
          <w:b/>
          <w:bCs/>
          <w:lang w:val="fr-BE"/>
        </w:rPr>
        <w:t xml:space="preserve">STATUT LEGAL DE DELIVRANCE  </w:t>
      </w:r>
      <w:r w:rsidRPr="00D11CA1">
        <w:rPr>
          <w:lang w:val="fr-BE"/>
        </w:rPr>
        <w:t>Médicament sur prescription médicale restreinte.</w:t>
      </w:r>
    </w:p>
    <w:p w14:paraId="7CC476A9" w14:textId="77777777" w:rsidR="00D11CA1" w:rsidRPr="00D11CA1" w:rsidRDefault="00D11CA1" w:rsidP="00D11CA1"/>
    <w:sectPr w:rsidR="00D11CA1" w:rsidRPr="00D11CA1" w:rsidSect="001374C5">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A2D64" w14:textId="77777777" w:rsidR="007121E6" w:rsidRDefault="007121E6">
      <w:pPr>
        <w:spacing w:line="240" w:lineRule="auto"/>
      </w:pPr>
      <w:r>
        <w:separator/>
      </w:r>
    </w:p>
  </w:endnote>
  <w:endnote w:type="continuationSeparator" w:id="0">
    <w:p w14:paraId="45E49CB4" w14:textId="77777777" w:rsidR="007121E6" w:rsidRDefault="007121E6">
      <w:pPr>
        <w:spacing w:line="240" w:lineRule="auto"/>
      </w:pPr>
      <w:r>
        <w:continuationSeparator/>
      </w:r>
    </w:p>
  </w:endnote>
  <w:endnote w:type="continuationNotice" w:id="1">
    <w:p w14:paraId="6CEBB337" w14:textId="77777777" w:rsidR="007121E6" w:rsidRDefault="007121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6CDEC" w14:textId="4962DBDE" w:rsidR="00CC100F" w:rsidRDefault="00CC100F">
    <w:pPr>
      <w:pStyle w:val="Voettekst"/>
      <w:tabs>
        <w:tab w:val="right" w:pos="8931"/>
      </w:tabs>
      <w:ind w:right="96"/>
      <w:jc w:val="center"/>
    </w:pPr>
    <w:r>
      <w:fldChar w:fldCharType="begin"/>
    </w:r>
    <w:r>
      <w:instrText xml:space="preserve"> EQ </w:instrText>
    </w:r>
    <w:r>
      <w:fldChar w:fldCharType="end"/>
    </w:r>
    <w:r>
      <w:rPr>
        <w:rStyle w:val="Paginanummer"/>
        <w:rFonts w:cs="Arial"/>
      </w:rPr>
      <w:fldChar w:fldCharType="begin"/>
    </w:r>
    <w:r>
      <w:rPr>
        <w:rStyle w:val="Paginanummer"/>
        <w:rFonts w:cs="Arial"/>
      </w:rPr>
      <w:instrText xml:space="preserve">PAGE  </w:instrText>
    </w:r>
    <w:r>
      <w:rPr>
        <w:rStyle w:val="Paginanummer"/>
        <w:rFonts w:cs="Arial"/>
      </w:rPr>
      <w:fldChar w:fldCharType="separate"/>
    </w:r>
    <w:r w:rsidR="00E201DA">
      <w:rPr>
        <w:rStyle w:val="Paginanummer"/>
        <w:rFonts w:cs="Arial"/>
      </w:rPr>
      <w:t>2</w:t>
    </w:r>
    <w:r>
      <w:rPr>
        <w:rStyle w:val="Paginanumm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4CC7" w14:textId="5AB26504" w:rsidR="00CC100F" w:rsidRDefault="00CC100F">
    <w:pPr>
      <w:pStyle w:val="Voettekst"/>
      <w:tabs>
        <w:tab w:val="right" w:pos="8931"/>
      </w:tabs>
      <w:ind w:right="96"/>
      <w:jc w:val="center"/>
    </w:pPr>
    <w:r>
      <w:fldChar w:fldCharType="begin"/>
    </w:r>
    <w:r>
      <w:instrText xml:space="preserve"> EQ </w:instrText>
    </w:r>
    <w:r>
      <w:fldChar w:fldCharType="end"/>
    </w:r>
    <w:r>
      <w:rPr>
        <w:rStyle w:val="Paginanummer"/>
        <w:rFonts w:cs="Arial"/>
      </w:rPr>
      <w:fldChar w:fldCharType="begin"/>
    </w:r>
    <w:r>
      <w:rPr>
        <w:rStyle w:val="Paginanummer"/>
        <w:rFonts w:cs="Arial"/>
      </w:rPr>
      <w:instrText xml:space="preserve">PAGE  </w:instrText>
    </w:r>
    <w:r>
      <w:rPr>
        <w:rStyle w:val="Paginanummer"/>
        <w:rFonts w:cs="Arial"/>
      </w:rPr>
      <w:fldChar w:fldCharType="separate"/>
    </w:r>
    <w:r w:rsidR="00E201DA">
      <w:rPr>
        <w:rStyle w:val="Paginanummer"/>
        <w:rFonts w:cs="Arial"/>
      </w:rPr>
      <w:t>1</w:t>
    </w:r>
    <w:r>
      <w:rPr>
        <w:rStyle w:val="Paginanumm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DCD0F" w14:textId="77777777" w:rsidR="007121E6" w:rsidRDefault="007121E6">
      <w:pPr>
        <w:spacing w:line="240" w:lineRule="auto"/>
      </w:pPr>
      <w:r>
        <w:separator/>
      </w:r>
    </w:p>
  </w:footnote>
  <w:footnote w:type="continuationSeparator" w:id="0">
    <w:p w14:paraId="51AFE71E" w14:textId="77777777" w:rsidR="007121E6" w:rsidRDefault="007121E6">
      <w:pPr>
        <w:spacing w:line="240" w:lineRule="auto"/>
      </w:pPr>
      <w:r>
        <w:continuationSeparator/>
      </w:r>
    </w:p>
  </w:footnote>
  <w:footnote w:type="continuationNotice" w:id="1">
    <w:p w14:paraId="5D9216CE" w14:textId="77777777" w:rsidR="007121E6" w:rsidRDefault="007121E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65D31"/>
    <w:multiLevelType w:val="hybridMultilevel"/>
    <w:tmpl w:val="B63C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562D"/>
    <w:multiLevelType w:val="hybridMultilevel"/>
    <w:tmpl w:val="9D50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03B65"/>
    <w:multiLevelType w:val="hybridMultilevel"/>
    <w:tmpl w:val="910C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54185"/>
    <w:multiLevelType w:val="hybridMultilevel"/>
    <w:tmpl w:val="9012A172"/>
    <w:lvl w:ilvl="0" w:tplc="FFFFFFFF">
      <w:start w:val="1"/>
      <w:numFmt w:val="bullet"/>
      <w:lvlText w:val=""/>
      <w:lvlJc w:val="left"/>
      <w:pPr>
        <w:ind w:left="1368" w:hanging="360"/>
      </w:pPr>
      <w:rPr>
        <w:rFonts w:ascii="Symbol" w:hAnsi="Symbol" w:hint="default"/>
      </w:rPr>
    </w:lvl>
    <w:lvl w:ilvl="1" w:tplc="040C0001">
      <w:start w:val="1"/>
      <w:numFmt w:val="bullet"/>
      <w:lvlText w:val=""/>
      <w:lvlJc w:val="left"/>
      <w:pPr>
        <w:ind w:left="1368" w:hanging="360"/>
      </w:pPr>
      <w:rPr>
        <w:rFonts w:ascii="Symbol" w:hAnsi="Symbol"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6" w15:restartNumberingAfterBreak="0">
    <w:nsid w:val="1C470E69"/>
    <w:multiLevelType w:val="hybridMultilevel"/>
    <w:tmpl w:val="FE5241F4"/>
    <w:lvl w:ilvl="0" w:tplc="040C0001">
      <w:start w:val="1"/>
      <w:numFmt w:val="bullet"/>
      <w:lvlText w:val=""/>
      <w:lvlJc w:val="left"/>
      <w:pPr>
        <w:ind w:left="1368" w:hanging="360"/>
      </w:pPr>
      <w:rPr>
        <w:rFonts w:ascii="Symbol" w:hAnsi="Symbol" w:hint="default"/>
      </w:rPr>
    </w:lvl>
    <w:lvl w:ilvl="1" w:tplc="040C0003">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7" w15:restartNumberingAfterBreak="0">
    <w:nsid w:val="22012870"/>
    <w:multiLevelType w:val="hybridMultilevel"/>
    <w:tmpl w:val="7EEE0882"/>
    <w:lvl w:ilvl="0" w:tplc="A4BC73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4DB8"/>
    <w:multiLevelType w:val="hybridMultilevel"/>
    <w:tmpl w:val="A5146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9C0446"/>
    <w:multiLevelType w:val="hybridMultilevel"/>
    <w:tmpl w:val="B20E620E"/>
    <w:lvl w:ilvl="0" w:tplc="4476B596">
      <w:start w:val="1"/>
      <w:numFmt w:val="decimal"/>
      <w:lvlText w:val="%1."/>
      <w:lvlJc w:val="left"/>
      <w:pPr>
        <w:ind w:left="930" w:hanging="570"/>
      </w:pPr>
      <w:rPr>
        <w:rFonts w:hint="default"/>
        <w:b/>
      </w:rPr>
    </w:lvl>
    <w:lvl w:ilvl="1" w:tplc="B28C111C" w:tentative="1">
      <w:start w:val="1"/>
      <w:numFmt w:val="lowerLetter"/>
      <w:lvlText w:val="%2."/>
      <w:lvlJc w:val="left"/>
      <w:pPr>
        <w:ind w:left="1440" w:hanging="360"/>
      </w:pPr>
    </w:lvl>
    <w:lvl w:ilvl="2" w:tplc="B94C45EA" w:tentative="1">
      <w:start w:val="1"/>
      <w:numFmt w:val="lowerRoman"/>
      <w:lvlText w:val="%3."/>
      <w:lvlJc w:val="right"/>
      <w:pPr>
        <w:ind w:left="2160" w:hanging="180"/>
      </w:pPr>
    </w:lvl>
    <w:lvl w:ilvl="3" w:tplc="ADCA93B0" w:tentative="1">
      <w:start w:val="1"/>
      <w:numFmt w:val="decimal"/>
      <w:lvlText w:val="%4."/>
      <w:lvlJc w:val="left"/>
      <w:pPr>
        <w:ind w:left="2880" w:hanging="360"/>
      </w:pPr>
    </w:lvl>
    <w:lvl w:ilvl="4" w:tplc="32C61D70" w:tentative="1">
      <w:start w:val="1"/>
      <w:numFmt w:val="lowerLetter"/>
      <w:lvlText w:val="%5."/>
      <w:lvlJc w:val="left"/>
      <w:pPr>
        <w:ind w:left="3600" w:hanging="360"/>
      </w:pPr>
    </w:lvl>
    <w:lvl w:ilvl="5" w:tplc="DA4AD478" w:tentative="1">
      <w:start w:val="1"/>
      <w:numFmt w:val="lowerRoman"/>
      <w:lvlText w:val="%6."/>
      <w:lvlJc w:val="right"/>
      <w:pPr>
        <w:ind w:left="4320" w:hanging="180"/>
      </w:pPr>
    </w:lvl>
    <w:lvl w:ilvl="6" w:tplc="9028ED2A" w:tentative="1">
      <w:start w:val="1"/>
      <w:numFmt w:val="decimal"/>
      <w:lvlText w:val="%7."/>
      <w:lvlJc w:val="left"/>
      <w:pPr>
        <w:ind w:left="5040" w:hanging="360"/>
      </w:pPr>
    </w:lvl>
    <w:lvl w:ilvl="7" w:tplc="0A7C8BB2" w:tentative="1">
      <w:start w:val="1"/>
      <w:numFmt w:val="lowerLetter"/>
      <w:lvlText w:val="%8."/>
      <w:lvlJc w:val="left"/>
      <w:pPr>
        <w:ind w:left="5760" w:hanging="360"/>
      </w:pPr>
    </w:lvl>
    <w:lvl w:ilvl="8" w:tplc="96C82204" w:tentative="1">
      <w:start w:val="1"/>
      <w:numFmt w:val="lowerRoman"/>
      <w:lvlText w:val="%9."/>
      <w:lvlJc w:val="right"/>
      <w:pPr>
        <w:ind w:left="6480" w:hanging="180"/>
      </w:pPr>
    </w:lvl>
  </w:abstractNum>
  <w:abstractNum w:abstractNumId="10" w15:restartNumberingAfterBreak="0">
    <w:nsid w:val="329A0062"/>
    <w:multiLevelType w:val="hybridMultilevel"/>
    <w:tmpl w:val="680C1142"/>
    <w:lvl w:ilvl="0" w:tplc="6C42BD4A">
      <w:numFmt w:val="bullet"/>
      <w:lvlText w:val="•"/>
      <w:lvlJc w:val="left"/>
      <w:pPr>
        <w:ind w:left="1008" w:hanging="360"/>
      </w:pPr>
      <w:rPr>
        <w:rFonts w:ascii="Times New Roman" w:eastAsia="Times New Roman" w:hAnsi="Times New Roman" w:cs="Times New Roman"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1" w15:restartNumberingAfterBreak="0">
    <w:nsid w:val="35942F61"/>
    <w:multiLevelType w:val="multilevel"/>
    <w:tmpl w:val="8D16E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AA3F68"/>
    <w:multiLevelType w:val="hybridMultilevel"/>
    <w:tmpl w:val="91C48718"/>
    <w:lvl w:ilvl="0" w:tplc="040C0001">
      <w:start w:val="1"/>
      <w:numFmt w:val="bullet"/>
      <w:lvlText w:val=""/>
      <w:lvlJc w:val="left"/>
      <w:pPr>
        <w:ind w:left="1368" w:hanging="360"/>
      </w:pPr>
      <w:rPr>
        <w:rFonts w:ascii="Symbol" w:hAnsi="Symbol" w:hint="default"/>
      </w:rPr>
    </w:lvl>
    <w:lvl w:ilvl="1" w:tplc="3CCCC3F6">
      <w:numFmt w:val="bullet"/>
      <w:lvlText w:val="•"/>
      <w:lvlJc w:val="left"/>
      <w:pPr>
        <w:ind w:left="2088" w:hanging="360"/>
      </w:pPr>
      <w:rPr>
        <w:rFonts w:ascii="Times New Roman" w:eastAsia="Times New Roman" w:hAnsi="Times New Roman" w:cs="Times New Roman"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13" w15:restartNumberingAfterBreak="0">
    <w:nsid w:val="44391368"/>
    <w:multiLevelType w:val="hybridMultilevel"/>
    <w:tmpl w:val="4B24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21F37"/>
    <w:multiLevelType w:val="hybridMultilevel"/>
    <w:tmpl w:val="7D00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83CEE"/>
    <w:multiLevelType w:val="multilevel"/>
    <w:tmpl w:val="5EBCBC0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17" w15:restartNumberingAfterBreak="0">
    <w:nsid w:val="64636EAE"/>
    <w:multiLevelType w:val="multilevel"/>
    <w:tmpl w:val="11A08CEC"/>
    <w:lvl w:ilvl="0">
      <w:start w:val="1"/>
      <w:numFmt w:val="decimal"/>
      <w:lvlText w:val="%1."/>
      <w:lvlJc w:val="left"/>
      <w:pPr>
        <w:ind w:left="930" w:hanging="930"/>
      </w:pPr>
      <w:rPr>
        <w:b/>
      </w:rPr>
    </w:lvl>
    <w:lvl w:ilvl="1">
      <w:start w:val="1"/>
      <w:numFmt w:val="decimal"/>
      <w:isLgl/>
      <w:lvlText w:val="%1.%2"/>
      <w:lvlJc w:val="left"/>
      <w:pPr>
        <w:ind w:left="570" w:hanging="57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440" w:hanging="1440"/>
      </w:pPr>
      <w:rPr>
        <w:b/>
      </w:rPr>
    </w:lvl>
  </w:abstractNum>
  <w:abstractNum w:abstractNumId="18" w15:restartNumberingAfterBreak="0">
    <w:nsid w:val="68281332"/>
    <w:multiLevelType w:val="hybridMultilevel"/>
    <w:tmpl w:val="2E58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B5E39"/>
    <w:multiLevelType w:val="hybridMultilevel"/>
    <w:tmpl w:val="A15E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A0FC4"/>
    <w:multiLevelType w:val="hybridMultilevel"/>
    <w:tmpl w:val="1B5E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E95A54"/>
    <w:multiLevelType w:val="hybridMultilevel"/>
    <w:tmpl w:val="EDE059A0"/>
    <w:lvl w:ilvl="0" w:tplc="E4645DB4">
      <w:start w:val="1"/>
      <w:numFmt w:val="bullet"/>
      <w:lvlText w:val=""/>
      <w:lvlJc w:val="left"/>
      <w:pPr>
        <w:tabs>
          <w:tab w:val="num" w:pos="397"/>
        </w:tabs>
        <w:ind w:left="397" w:hanging="397"/>
      </w:pPr>
      <w:rPr>
        <w:rFonts w:ascii="Symbol" w:hAnsi="Symbol" w:hint="default"/>
      </w:rPr>
    </w:lvl>
    <w:lvl w:ilvl="1" w:tplc="564AED7E" w:tentative="1">
      <w:start w:val="1"/>
      <w:numFmt w:val="bullet"/>
      <w:lvlText w:val="o"/>
      <w:lvlJc w:val="left"/>
      <w:pPr>
        <w:tabs>
          <w:tab w:val="num" w:pos="1440"/>
        </w:tabs>
        <w:ind w:left="1440" w:hanging="360"/>
      </w:pPr>
      <w:rPr>
        <w:rFonts w:ascii="Courier New" w:hAnsi="Courier New" w:hint="default"/>
      </w:rPr>
    </w:lvl>
    <w:lvl w:ilvl="2" w:tplc="85081B6A" w:tentative="1">
      <w:start w:val="1"/>
      <w:numFmt w:val="bullet"/>
      <w:lvlText w:val=""/>
      <w:lvlJc w:val="left"/>
      <w:pPr>
        <w:tabs>
          <w:tab w:val="num" w:pos="2160"/>
        </w:tabs>
        <w:ind w:left="2160" w:hanging="360"/>
      </w:pPr>
      <w:rPr>
        <w:rFonts w:ascii="Wingdings" w:hAnsi="Wingdings" w:hint="default"/>
      </w:rPr>
    </w:lvl>
    <w:lvl w:ilvl="3" w:tplc="212C0CEE" w:tentative="1">
      <w:start w:val="1"/>
      <w:numFmt w:val="bullet"/>
      <w:lvlText w:val=""/>
      <w:lvlJc w:val="left"/>
      <w:pPr>
        <w:tabs>
          <w:tab w:val="num" w:pos="2880"/>
        </w:tabs>
        <w:ind w:left="2880" w:hanging="360"/>
      </w:pPr>
      <w:rPr>
        <w:rFonts w:ascii="Symbol" w:hAnsi="Symbol" w:hint="default"/>
      </w:rPr>
    </w:lvl>
    <w:lvl w:ilvl="4" w:tplc="7F8A73FC" w:tentative="1">
      <w:start w:val="1"/>
      <w:numFmt w:val="bullet"/>
      <w:lvlText w:val="o"/>
      <w:lvlJc w:val="left"/>
      <w:pPr>
        <w:tabs>
          <w:tab w:val="num" w:pos="3600"/>
        </w:tabs>
        <w:ind w:left="3600" w:hanging="360"/>
      </w:pPr>
      <w:rPr>
        <w:rFonts w:ascii="Courier New" w:hAnsi="Courier New" w:hint="default"/>
      </w:rPr>
    </w:lvl>
    <w:lvl w:ilvl="5" w:tplc="009A4F5E" w:tentative="1">
      <w:start w:val="1"/>
      <w:numFmt w:val="bullet"/>
      <w:lvlText w:val=""/>
      <w:lvlJc w:val="left"/>
      <w:pPr>
        <w:tabs>
          <w:tab w:val="num" w:pos="4320"/>
        </w:tabs>
        <w:ind w:left="4320" w:hanging="360"/>
      </w:pPr>
      <w:rPr>
        <w:rFonts w:ascii="Wingdings" w:hAnsi="Wingdings" w:hint="default"/>
      </w:rPr>
    </w:lvl>
    <w:lvl w:ilvl="6" w:tplc="420672F2" w:tentative="1">
      <w:start w:val="1"/>
      <w:numFmt w:val="bullet"/>
      <w:lvlText w:val=""/>
      <w:lvlJc w:val="left"/>
      <w:pPr>
        <w:tabs>
          <w:tab w:val="num" w:pos="5040"/>
        </w:tabs>
        <w:ind w:left="5040" w:hanging="360"/>
      </w:pPr>
      <w:rPr>
        <w:rFonts w:ascii="Symbol" w:hAnsi="Symbol" w:hint="default"/>
      </w:rPr>
    </w:lvl>
    <w:lvl w:ilvl="7" w:tplc="1428B21E" w:tentative="1">
      <w:start w:val="1"/>
      <w:numFmt w:val="bullet"/>
      <w:lvlText w:val="o"/>
      <w:lvlJc w:val="left"/>
      <w:pPr>
        <w:tabs>
          <w:tab w:val="num" w:pos="5760"/>
        </w:tabs>
        <w:ind w:left="5760" w:hanging="360"/>
      </w:pPr>
      <w:rPr>
        <w:rFonts w:ascii="Courier New" w:hAnsi="Courier New" w:hint="default"/>
      </w:rPr>
    </w:lvl>
    <w:lvl w:ilvl="8" w:tplc="DAA0ABB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100D28"/>
    <w:multiLevelType w:val="hybridMultilevel"/>
    <w:tmpl w:val="2F94C0BA"/>
    <w:lvl w:ilvl="0" w:tplc="12E2DBCC">
      <w:start w:val="1"/>
      <w:numFmt w:val="upperLetter"/>
      <w:lvlText w:val="%1."/>
      <w:lvlJc w:val="left"/>
      <w:pPr>
        <w:ind w:left="5670" w:hanging="5670"/>
      </w:pPr>
      <w:rPr>
        <w:b/>
      </w:rPr>
    </w:lvl>
    <w:lvl w:ilvl="1" w:tplc="A7C4A44E">
      <w:start w:val="1"/>
      <w:numFmt w:val="decimal"/>
      <w:lvlText w:val="%2."/>
      <w:lvlJc w:val="left"/>
      <w:pPr>
        <w:ind w:left="1650" w:hanging="570"/>
      </w:pPr>
      <w:rPr>
        <w:b/>
        <w:i w:val="0"/>
      </w:rPr>
    </w:lvl>
    <w:lvl w:ilvl="2" w:tplc="ED8CAC68">
      <w:start w:val="1"/>
      <w:numFmt w:val="lowerRoman"/>
      <w:lvlText w:val="%3."/>
      <w:lvlJc w:val="right"/>
      <w:pPr>
        <w:ind w:left="2160" w:hanging="180"/>
      </w:pPr>
    </w:lvl>
    <w:lvl w:ilvl="3" w:tplc="A492F8B2">
      <w:start w:val="1"/>
      <w:numFmt w:val="decimal"/>
      <w:lvlText w:val="%4."/>
      <w:lvlJc w:val="left"/>
      <w:pPr>
        <w:ind w:left="2880" w:hanging="360"/>
      </w:pPr>
    </w:lvl>
    <w:lvl w:ilvl="4" w:tplc="8D44FEAC">
      <w:start w:val="1"/>
      <w:numFmt w:val="lowerLetter"/>
      <w:lvlText w:val="%5."/>
      <w:lvlJc w:val="left"/>
      <w:pPr>
        <w:ind w:left="3600" w:hanging="360"/>
      </w:pPr>
    </w:lvl>
    <w:lvl w:ilvl="5" w:tplc="BE766308">
      <w:start w:val="1"/>
      <w:numFmt w:val="lowerRoman"/>
      <w:lvlText w:val="%6."/>
      <w:lvlJc w:val="right"/>
      <w:pPr>
        <w:ind w:left="4320" w:hanging="180"/>
      </w:pPr>
    </w:lvl>
    <w:lvl w:ilvl="6" w:tplc="9250A76C">
      <w:start w:val="1"/>
      <w:numFmt w:val="decimal"/>
      <w:lvlText w:val="%7."/>
      <w:lvlJc w:val="left"/>
      <w:pPr>
        <w:ind w:left="5040" w:hanging="360"/>
      </w:pPr>
    </w:lvl>
    <w:lvl w:ilvl="7" w:tplc="699AC2DA">
      <w:start w:val="1"/>
      <w:numFmt w:val="lowerLetter"/>
      <w:lvlText w:val="%8."/>
      <w:lvlJc w:val="left"/>
      <w:pPr>
        <w:ind w:left="5760" w:hanging="360"/>
      </w:pPr>
    </w:lvl>
    <w:lvl w:ilvl="8" w:tplc="9ED00848">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4"/>
  </w:num>
  <w:num w:numId="3">
    <w:abstractNumId w:val="19"/>
  </w:num>
  <w:num w:numId="4">
    <w:abstractNumId w:val="3"/>
  </w:num>
  <w:num w:numId="5">
    <w:abstractNumId w:val="0"/>
    <w:lvlOverride w:ilvl="0">
      <w:lvl w:ilvl="0">
        <w:start w:val="1"/>
        <w:numFmt w:val="bullet"/>
        <w:lvlText w:val="-"/>
        <w:lvlJc w:val="left"/>
        <w:pPr>
          <w:ind w:left="720" w:hanging="360"/>
        </w:pPr>
      </w:lvl>
    </w:lvlOverride>
  </w:num>
  <w:num w:numId="6">
    <w:abstractNumId w:val="13"/>
  </w:num>
  <w:num w:numId="7">
    <w:abstractNumId w:val="20"/>
  </w:num>
  <w:num w:numId="8">
    <w:abstractNumId w:val="1"/>
  </w:num>
  <w:num w:numId="9">
    <w:abstractNumId w:val="8"/>
  </w:num>
  <w:num w:numId="10">
    <w:abstractNumId w:val="14"/>
  </w:num>
  <w:num w:numId="11">
    <w:abstractNumId w:val="15"/>
  </w:num>
  <w:num w:numId="12">
    <w:abstractNumId w:val="17"/>
  </w:num>
  <w:num w:numId="13">
    <w:abstractNumId w:val="1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0"/>
    <w:lvlOverride w:ilvl="0">
      <w:lvl w:ilvl="0">
        <w:start w:val="1"/>
        <w:numFmt w:val="bullet"/>
        <w:lvlText w:val="-"/>
        <w:legacy w:legacy="1" w:legacySpace="0" w:legacyIndent="360"/>
        <w:lvlJc w:val="left"/>
        <w:pPr>
          <w:ind w:left="360" w:hanging="360"/>
        </w:pPr>
      </w:lvl>
    </w:lvlOverride>
  </w:num>
  <w:num w:numId="18">
    <w:abstractNumId w:val="18"/>
  </w:num>
  <w:num w:numId="19">
    <w:abstractNumId w:val="7"/>
  </w:num>
  <w:num w:numId="20">
    <w:abstractNumId w:val="11"/>
  </w:num>
  <w:num w:numId="21">
    <w:abstractNumId w:val="9"/>
  </w:num>
  <w:num w:numId="22">
    <w:abstractNumId w:val="21"/>
  </w:num>
  <w:num w:numId="23">
    <w:abstractNumId w:val="12"/>
  </w:num>
  <w:num w:numId="24">
    <w:abstractNumId w:val="10"/>
  </w:num>
  <w:num w:numId="25">
    <w:abstractNumId w:val="6"/>
  </w:num>
  <w:num w:numId="2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AULT_ND_00dac651-c00f-4445-8c80-27f35d57ea84" w:val=" "/>
    <w:docVar w:name="vault_nd_00f8deb9-ffed-455a-9ac5-9daf255266a1" w:val=" "/>
    <w:docVar w:name="vault_nd_03c08850-93e8-4271-80e0-ca067e4d37da" w:val=" "/>
    <w:docVar w:name="VAULT_ND_07ac8338-939f-441b-9517-0ba889673cec" w:val=" "/>
    <w:docVar w:name="VAULT_ND_0954618a-181d-433d-9202-41961be84d34" w:val=" "/>
    <w:docVar w:name="VAULT_ND_0969908c-a2c6-48e0-8432-e870d5e357d2" w:val=" "/>
    <w:docVar w:name="VAULT_ND_0a512674-cfd1-46b2-a020-7d2375fd62fa" w:val=" "/>
    <w:docVar w:name="VAULT_ND_0c6f6da6-7937-4084-9bc7-723e6dade207" w:val=" "/>
    <w:docVar w:name="VAULT_ND_1033ef21-f40e-4457-b434-dbb8b619bc5f" w:val=" "/>
    <w:docVar w:name="vault_nd_1075e595-911e-4eab-9418-2b57834c9f41" w:val=" "/>
    <w:docVar w:name="VAULT_ND_143361b6-0584-4fa2-8248-ac2d4a50367f" w:val=" "/>
    <w:docVar w:name="VAULT_ND_146ca256-fde2-43ef-aa2b-534c2d55edd5" w:val=" "/>
    <w:docVar w:name="VAULT_ND_17b12130-792a-4756-ac21-63d8b736e814" w:val=" "/>
    <w:docVar w:name="VAULT_ND_197c893c-7901-4c73-a943-8920fc9cf5b0" w:val=" "/>
    <w:docVar w:name="vault_nd_197d9dc8-a5ea-4ccf-8907-5d5e6440fc86" w:val=" "/>
    <w:docVar w:name="vault_nd_1a5b9b23-939a-4dc7-8ee4-5ef47f52912b" w:val=" "/>
    <w:docVar w:name="VAULT_ND_1afd8faa-08d6-413b-a67e-7730d2d6de2f" w:val=" "/>
    <w:docVar w:name="VAULT_ND_1c3a0c7f-0daa-4e47-ab37-20ae2595a878" w:val=" "/>
    <w:docVar w:name="vault_nd_1dae955b-a23b-485f-9ae0-e79e4ec482b0" w:val=" "/>
    <w:docVar w:name="vault_nd_222f2d1d-43e6-4ded-b803-fbffd1d16f0c" w:val=" "/>
    <w:docVar w:name="vault_nd_2413f65c-f1a2-4072-82b5-f9fa1c8c2760" w:val=" "/>
    <w:docVar w:name="VAULT_ND_248a74a4-0ecd-479a-a559-9b9a3883127b" w:val=" "/>
    <w:docVar w:name="VAULT_ND_25c26864-d9e6-4417-bc3c-e4aa1fef8d15" w:val=" "/>
    <w:docVar w:name="vault_nd_2cb48d9a-4e4f-4947-973b-ab90bf7d6ed0" w:val=" "/>
    <w:docVar w:name="vault_nd_30037aee-2b29-4728-956a-ef72834ddd91" w:val=" "/>
    <w:docVar w:name="VAULT_ND_3404cb1b-d008-45b7-8a08-05c4bf26fa22" w:val=" "/>
    <w:docVar w:name="vault_nd_34621090-7fa3-4507-9e08-d4d9654f2070" w:val=" "/>
    <w:docVar w:name="vault_nd_3531a865-c5fa-448a-a048-c2999c541f2d" w:val=" "/>
    <w:docVar w:name="VAULT_ND_3532decf-d117-4049-825b-775b0d123bfc" w:val=" "/>
    <w:docVar w:name="VAULT_ND_36ab55c5-dad2-4b84-b966-6ef7ed2f2b42" w:val=" "/>
    <w:docVar w:name="vault_nd_3868ebcb-2442-4f58-ad8b-3da184de889a" w:val=" "/>
    <w:docVar w:name="VAULT_ND_3879e8b8-0dfd-458c-b433-42760a7a192e" w:val=" "/>
    <w:docVar w:name="vault_nd_3ad6628d-662f-4cf8-9b62-f90a594d1ca8" w:val=" "/>
    <w:docVar w:name="vault_nd_3d86d96a-b08c-4ba4-a1f7-7ff35dfe3c0b" w:val=" "/>
    <w:docVar w:name="VAULT_ND_3e42a447-c5ef-45a9-b30e-c2e1c1c17f27" w:val=" "/>
    <w:docVar w:name="VAULT_ND_3ec7bbd2-88ad-4a51-a755-23c91eda401b" w:val=" "/>
    <w:docVar w:name="vault_nd_3ed9f090-d61d-4932-b0df-65aab44ac089" w:val=" "/>
    <w:docVar w:name="VAULT_ND_40bf1bdb-e5dd-4338-83c1-036ff1ffe6d9" w:val=" "/>
    <w:docVar w:name="vault_nd_4163b09c-eae3-45cf-ba67-b5852fc62921" w:val=" "/>
    <w:docVar w:name="VAULT_ND_454fa250-06f2-43c7-aa3b-810308002b35" w:val=" "/>
    <w:docVar w:name="VAULT_ND_45e51cfb-37e6-4529-a2a3-b8a5de2449dc" w:val=" "/>
    <w:docVar w:name="vault_nd_48055a15-5431-4702-97e8-38c80feffb84" w:val=" "/>
    <w:docVar w:name="VAULT_ND_48d90bc0-463b-459c-8186-ded2bd790e3b" w:val=" "/>
    <w:docVar w:name="VAULT_ND_48e7399f-fe30-4ee4-a007-b72b195b2b5d" w:val=" "/>
    <w:docVar w:name="VAULT_ND_492eb59d-645b-49b0-af98-5e96c8a4fcc9" w:val=" "/>
    <w:docVar w:name="vault_nd_4992a469-3eaa-4234-8c7a-1ebd2ddb8213" w:val=" "/>
    <w:docVar w:name="VAULT_ND_49cea306-8424-42b9-9799-fe6e7f997418" w:val=" "/>
    <w:docVar w:name="VAULT_ND_4a2f0b92-bc10-476b-aa1c-5e0ed6940bee" w:val=" "/>
    <w:docVar w:name="VAULT_ND_4af2dcee-fbf3-4454-9538-58b157e4e395" w:val=" "/>
    <w:docVar w:name="VAULT_ND_4e108e37-da98-4449-99a8-6bb7ff1a3792" w:val=" "/>
    <w:docVar w:name="vault_nd_4e5f8746-2d4e-4836-863f-61e4d22088c2" w:val=" "/>
    <w:docVar w:name="vault_nd_50926c94-0ffc-4398-9afc-d9d016264205" w:val=" "/>
    <w:docVar w:name="VAULT_ND_53208a8d-dd19-4883-922e-17665c28ac19" w:val=" "/>
    <w:docVar w:name="VAULT_ND_534721eb-9fb9-4656-928d-d141190c4cb5" w:val=" "/>
    <w:docVar w:name="vault_nd_53d08fc8-062b-4734-aab3-648dc6e58542" w:val=" "/>
    <w:docVar w:name="VAULT_ND_53d96390-e59d-4864-aa0e-b1d47ffe905c" w:val=" "/>
    <w:docVar w:name="VAULT_ND_57530eb2-e2b8-4e2a-b278-fa8b629318ae" w:val=" "/>
    <w:docVar w:name="vault_nd_5781300e-75f3-43a6-b64f-f74b47231ab5" w:val=" "/>
    <w:docVar w:name="vault_nd_581f5c90-ff68-4b6e-9e2a-45ab964b9a44" w:val=" "/>
    <w:docVar w:name="VAULT_ND_58ba98ca-c6f7-43c3-8a8b-14dff730ef41" w:val=" "/>
    <w:docVar w:name="VAULT_ND_5c442a66-754a-447b-aa86-c13aee94d5f1" w:val=" "/>
    <w:docVar w:name="vault_nd_5da48d4b-f2d3-4463-98f9-4d23681db63f" w:val=" "/>
    <w:docVar w:name="vault_nd_5e0a084c-3fbf-4215-9d79-ef02d7ebc113" w:val=" "/>
    <w:docVar w:name="VAULT_ND_5e64f802-95c4-48e7-87da-fd0c21f392ea" w:val=" "/>
    <w:docVar w:name="VAULT_ND_5faf3207-6158-4afc-9d26-eb0fa44822a3" w:val=" "/>
    <w:docVar w:name="vault_nd_60f55dab-6af0-4b22-8f20-e29d41c01e74" w:val=" "/>
    <w:docVar w:name="VAULT_ND_63632078-52d1-4057-9840-5766da348c3c" w:val=" "/>
    <w:docVar w:name="vault_nd_6486244a-8f01-4d5c-aa57-8b6806616980" w:val=" "/>
    <w:docVar w:name="vault_nd_64ad9a7b-7fb8-4417-b977-057a13924772" w:val=" "/>
    <w:docVar w:name="VAULT_ND_64bb94f9-02db-459d-9fec-aa233f617770" w:val=" "/>
    <w:docVar w:name="VAULT_ND_65472c2f-c165-4a34-b0c1-960fa0d29627" w:val=" "/>
    <w:docVar w:name="vault_nd_681373f5-95dc-434d-b4eb-c7d5c17e59e4" w:val=" "/>
    <w:docVar w:name="vault_nd_683ec47a-0a32-48a2-a76d-79ccf645c39b" w:val=" "/>
    <w:docVar w:name="VAULT_ND_68adadbc-a3f3-482f-9f30-3d7bd6a73680" w:val=" "/>
    <w:docVar w:name="VAULT_ND_69015abb-5e7b-45d5-ab3a-cea775dfc258" w:val=" "/>
    <w:docVar w:name="VAULT_ND_69fbba10-5bf4-46fa-aa1a-33719a5fd4e6" w:val=" "/>
    <w:docVar w:name="vault_nd_6bc4c458-e610-45a0-baf9-55ba3ce09f8f" w:val=" "/>
    <w:docVar w:name="VAULT_ND_6d116d6c-ef0c-4d50-96b5-eb1b56e680d4" w:val=" "/>
    <w:docVar w:name="VAULT_ND_6fc143fc-aa0e-45bb-a67f-02a27b5016c4" w:val=" "/>
    <w:docVar w:name="vault_nd_703fdbc4-18f3-43cb-bff7-8f9e899779e9" w:val=" "/>
    <w:docVar w:name="vault_nd_7115e1e3-9114-48fa-b87c-66a8702b2353" w:val=" "/>
    <w:docVar w:name="vault_nd_7212036b-bd3b-4bd1-9c5a-0419c6fea7c7" w:val=" "/>
    <w:docVar w:name="vault_nd_7276dbf1-b71a-4061-b87c-09e7a6257598" w:val=" "/>
    <w:docVar w:name="vault_nd_72f6ff0f-768d-4d59-927b-3e215f2c0421" w:val=" "/>
    <w:docVar w:name="vault_nd_7390bc9b-6e21-4fbe-9da4-50ee8581f353" w:val=" "/>
    <w:docVar w:name="vault_nd_74506444-b244-45cf-b1c9-6cea6ad2a862" w:val=" "/>
    <w:docVar w:name="VAULT_ND_7470022d-64ed-4f10-965e-3176d807d8bd" w:val=" "/>
    <w:docVar w:name="vault_nd_753e030c-d5b7-4d0c-9048-3e606165371b" w:val=" "/>
    <w:docVar w:name="vault_nd_75cc4c1a-178a-49e2-9230-52c223c3a41f" w:val=" "/>
    <w:docVar w:name="VAULT_ND_7cca6a83-85f4-4468-8672-b69d1b4c8977" w:val=" "/>
    <w:docVar w:name="vault_nd_7e426985-a7ed-4bb8-8ee4-1c22e0d49d1a" w:val=" "/>
    <w:docVar w:name="vault_nd_7e4c8164-bd79-48a4-87ae-c2235b76a608" w:val=" "/>
    <w:docVar w:name="vault_nd_82cd226e-36ed-465c-9474-ae46bd662f0f" w:val=" "/>
    <w:docVar w:name="vault_nd_853ee01d-0337-4d4b-affa-ba41c4422636" w:val=" "/>
    <w:docVar w:name="vault_nd_854089dc-e4ca-46a0-9d95-a91cecfd2491" w:val=" "/>
    <w:docVar w:name="VAULT_ND_86c76dcc-dcaa-4dd7-a853-a121087c03f0" w:val=" "/>
    <w:docVar w:name="VAULT_ND_86e6d092-4529-46cd-8de8-a2016ec8a9e5" w:val=" "/>
    <w:docVar w:name="VAULT_ND_8722cf25-4b2d-4557-94c8-c567ebba7aa6" w:val=" "/>
    <w:docVar w:name="VAULT_ND_87d7af33-2396-4273-ab9e-9d962b24c7ca" w:val=" "/>
    <w:docVar w:name="vault_nd_884ad898-0250-410d-9bf2-7ca32011f41b" w:val=" "/>
    <w:docVar w:name="VAULT_ND_898a1038-ff46-4645-a2dd-889e242867ea" w:val=" "/>
    <w:docVar w:name="VAULT_ND_8e7abc92-92cc-4996-ab12-5767fa391f4b" w:val=" "/>
    <w:docVar w:name="vault_nd_92c9e471-1cbc-4d7e-8564-2bcdcf3f3e3c" w:val=" "/>
    <w:docVar w:name="vault_nd_96aaa47a-1396-470d-93c6-5582d7176eec" w:val=" "/>
    <w:docVar w:name="VAULT_ND_96cd89b1-53a6-477b-8753-88edafd6d76d" w:val=" "/>
    <w:docVar w:name="VAULT_ND_9db9ff7b-8b57-4b2f-b991-1732bc5cbb74" w:val=" "/>
    <w:docVar w:name="VAULT_ND_9eb5a72f-0a07-4cc4-9c46-0e94627b16c4" w:val=" "/>
    <w:docVar w:name="VAULT_ND_9f5c6535-a577-4508-ada7-30a3e784ea22" w:val=" "/>
    <w:docVar w:name="VAULT_ND_9f7751fd-3360-4433-bb54-bb6dc8ed4000" w:val=" "/>
    <w:docVar w:name="vault_nd_a29bdab4-4e64-49e4-9ed8-615334b80e42" w:val=" "/>
    <w:docVar w:name="VAULT_ND_a3117c15-84e1-4e84-9bd7-e1a84c3632ae" w:val=" "/>
    <w:docVar w:name="vault_nd_a52082ea-1f7a-45c0-8c39-44ea3ac00e89" w:val=" "/>
    <w:docVar w:name="VAULT_ND_a5b9229e-f4f9-4e94-8013-0acf27365819" w:val=" "/>
    <w:docVar w:name="VAULT_ND_a5eeeeaf-b0dd-4bf8-a517-46cb9ecb9659" w:val=" "/>
    <w:docVar w:name="vault_nd_a80e22f6-b834-4c3f-87a9-dff18ee4a6f0" w:val=" "/>
    <w:docVar w:name="vault_nd_a8ba1f3c-01e5-4a40-bbdd-4a1ef545c5da" w:val=" "/>
    <w:docVar w:name="VAULT_ND_a9a2e645-4023-4956-a5dc-4ec1f99eee4b" w:val=" "/>
    <w:docVar w:name="VAULT_ND_aa51571c-ff63-4359-87b6-9f6838032bca" w:val=" "/>
    <w:docVar w:name="vault_nd_aaf2cae8-084e-4677-a976-50c5f69248ab" w:val=" "/>
    <w:docVar w:name="vault_nd_ab7715e7-542f-433f-9ed9-9c751e8ae5b8" w:val=" "/>
    <w:docVar w:name="VAULT_ND_ac284964-cf95-4922-b47b-ab218d37f56d" w:val=" "/>
    <w:docVar w:name="VAULT_ND_adffd9cf-4d8d-418d-9b79-0602002055f4" w:val=" "/>
    <w:docVar w:name="vault_nd_b0118e39-3491-4920-95d9-9c55e6d4f898" w:val=" "/>
    <w:docVar w:name="VAULT_ND_b1cf2027-c2f4-4ca5-a9e6-d55d27163d8b" w:val=" "/>
    <w:docVar w:name="vault_nd_b5438d34-b5b7-41b8-a66f-c5417feb453e" w:val=" "/>
    <w:docVar w:name="vault_nd_b570b63c-46d7-45f3-8981-44db98a567a4" w:val=" "/>
    <w:docVar w:name="vault_nd_b57161d3-38c1-4f86-b066-ce19e682a09d" w:val=" "/>
    <w:docVar w:name="VAULT_ND_b5a944bd-ce0f-467d-b54e-21bf5caed68a" w:val=" "/>
    <w:docVar w:name="VAULT_ND_b6ca3690-26ad-4394-bc34-1e430efedc35" w:val=" "/>
    <w:docVar w:name="VAULT_ND_b7f9d4cf-7f85-4b12-9121-39c4edee162d" w:val=" "/>
    <w:docVar w:name="VAULT_ND_b883cae2-a8b9-49ad-a0b6-3109b40ffa14" w:val=" "/>
    <w:docVar w:name="VAULT_ND_b93dcae7-1b5c-4b59-a901-b8712b8e3fe8" w:val=" "/>
    <w:docVar w:name="vault_nd_bade2e99-2e17-4efb-8894-deeab965de2d" w:val=" "/>
    <w:docVar w:name="vault_nd_bb418768-f554-4151-ac11-39e030c8b0bb" w:val=" "/>
    <w:docVar w:name="VAULT_ND_bcdd5e8e-732d-42a1-9649-06ad337fdb01" w:val=" "/>
    <w:docVar w:name="vault_nd_bce03027-3b49-4d3e-bc8e-f4341a21e1bd" w:val=" "/>
    <w:docVar w:name="vault_nd_bd821fea-ca5a-4343-9b57-5fefc3471074" w:val=" "/>
    <w:docVar w:name="VAULT_ND_bdd0aa5a-938c-401d-a88c-0bb3a2df3fa7" w:val=" "/>
    <w:docVar w:name="vault_nd_be1aad9c-8a81-49ad-bf0b-92984eddfef8" w:val=" "/>
    <w:docVar w:name="VAULT_ND_be903121-a6b8-40db-9317-644d1c35c204" w:val=" "/>
    <w:docVar w:name="VAULT_ND_c0a83b33-1fae-4949-b385-eee997e1610c" w:val=" "/>
    <w:docVar w:name="VAULT_ND_c49a05ba-5b45-4f62-bf67-867bf6e4fdb9" w:val=" "/>
    <w:docVar w:name="vault_nd_c519f751-5a5d-4a40-a162-43a92dbff6c5" w:val=" "/>
    <w:docVar w:name="vault_nd_c5210155-2178-4209-9b4a-6088c25d1315" w:val=" "/>
    <w:docVar w:name="vault_nd_c5898ea3-dc95-411e-8450-4cd42c512144" w:val=" "/>
    <w:docVar w:name="vault_nd_c6349ea9-a5f8-456f-b14c-939cf587d37b" w:val=" "/>
    <w:docVar w:name="VAULT_ND_c763e0b0-6cbc-4001-988e-6704b0041a05" w:val=" "/>
    <w:docVar w:name="vault_nd_c8f81b0f-25d9-493e-a435-4e136d358dbb" w:val=" "/>
    <w:docVar w:name="vault_nd_ca8b9399-8d57-42ea-a590-d1a53f6ba606" w:val=" "/>
    <w:docVar w:name="VAULT_ND_cb753f74-8e35-401c-bd11-8cc73e8570c2" w:val=" "/>
    <w:docVar w:name="vault_nd_cc75f6fd-6a9b-4a0b-9f19-dd5a30247b91" w:val=" "/>
    <w:docVar w:name="vault_nd_d01abb5f-bbf2-476a-9824-b8517b2c736c" w:val=" "/>
    <w:docVar w:name="VAULT_ND_d1f89343-39a7-42c7-9225-c56df452b6b1" w:val=" "/>
    <w:docVar w:name="VAULT_ND_d3661a08-d0ce-4263-9bbf-9ced3ce7c6f0" w:val=" "/>
    <w:docVar w:name="VAULT_ND_d3d92284-ad3d-4eb0-8ad2-c00bb57c498d" w:val=" "/>
    <w:docVar w:name="VAULT_ND_d59004f7-30f3-411f-9af8-7cbc96365f83" w:val=" "/>
    <w:docVar w:name="VAULT_ND_da501306-9539-4e05-9a6f-c2f229c55cdb" w:val=" "/>
    <w:docVar w:name="VAULT_ND_dc183038-840f-45dc-9cc7-36e69b9ce4d7" w:val=" "/>
    <w:docVar w:name="VAULT_ND_dd5d89c0-396f-49ca-a4c5-cfeec2cce55a" w:val=" "/>
    <w:docVar w:name="VAULT_ND_de1c031f-0af9-4e7b-9191-d12e3d0d6664" w:val=" "/>
    <w:docVar w:name="VAULT_ND_de5c3764-1f75-41cd-a39d-4477e554d51a" w:val=" "/>
    <w:docVar w:name="vault_nd_de70d58e-856e-4e94-bff0-b0bd808fa782" w:val=" "/>
    <w:docVar w:name="vault_nd_e028d710-dc13-4d9c-8f73-46f4a819af45" w:val=" "/>
    <w:docVar w:name="VAULT_ND_e228093d-3d2d-4441-94c0-2bbcd39f0e6d" w:val=" "/>
    <w:docVar w:name="VAULT_ND_e4b03c3f-8a05-425b-9e1d-0c1d77b4298c" w:val=" "/>
    <w:docVar w:name="vault_nd_e4fc1371-357b-4dc6-953b-163b517fa460" w:val=" "/>
    <w:docVar w:name="VAULT_ND_e6679d4c-8f2e-4ff7-9e1e-8947bee6efb9" w:val=" "/>
    <w:docVar w:name="VAULT_ND_e83d6192-35a7-41ee-a35e-40ded4d19f87" w:val=" "/>
    <w:docVar w:name="vault_nd_f0ae7d58-d30d-4f6d-907f-35a341678e70" w:val=" "/>
    <w:docVar w:name="VAULT_ND_f1570e24-ed25-46de-a700-978e16a18f13" w:val=" "/>
    <w:docVar w:name="VAULT_ND_f1be2b03-041d-476e-a1aa-93033f7910b6" w:val=" "/>
    <w:docVar w:name="vault_nd_f1d64ff5-78ec-440a-81cf-134ed2123a40" w:val=" "/>
    <w:docVar w:name="vault_nd_f27ddd9d-a764-4854-8f3f-8d11007f4e7b" w:val=" "/>
    <w:docVar w:name="VAULT_ND_f2f7caa5-6f1b-48e8-93a6-7c1fb4fbde0a" w:val=" "/>
    <w:docVar w:name="vault_nd_f37d782c-678f-4281-95e4-4afc4b047936" w:val=" "/>
    <w:docVar w:name="VAULT_ND_f504ce33-d5ed-465c-a449-c8be11a3b47a" w:val=" "/>
    <w:docVar w:name="vault_nd_f621e921-4ab0-4e20-88b1-d643d9672bf2" w:val=" "/>
    <w:docVar w:name="VAULT_ND_f899c95a-f92e-4530-8f2a-b27e1bfd53ff" w:val=" "/>
    <w:docVar w:name="VAULT_ND_fab61bec-b6cf-4a1b-844f-47c2a2d2a455" w:val=" "/>
    <w:docVar w:name="VAULT_ND_fad312dc-4e66-4c4c-a61f-1a1f491220ea" w:val=" "/>
    <w:docVar w:name="vault_nd_fb81a095-82eb-4b28-9061-020941143acd" w:val=" "/>
    <w:docVar w:name="VAULT_ND_fd2d095b-03f6-4167-858a-c9b2a11db691" w:val=" "/>
    <w:docVar w:name="vault_nd_ff3037e0-7791-4072-a1cb-e9be0934aec0" w:val=" "/>
    <w:docVar w:name="VAULT_ND_ff413ba3-085f-4d79-ab3e-7e9e15083698" w:val=" "/>
    <w:docVar w:name="vault_nd_ff9a3bda-5730-48c7-9d86-fcb201422cdd" w:val=" "/>
    <w:docVar w:name="vault_nd_ffa3d4fe-c226-4b07-91f6-2ae99f7e4627" w:val=" "/>
    <w:docVar w:name="Version" w:val="0"/>
  </w:docVars>
  <w:rsids>
    <w:rsidRoot w:val="00812D16"/>
    <w:rsid w:val="000001AB"/>
    <w:rsid w:val="000003F5"/>
    <w:rsid w:val="0000043D"/>
    <w:rsid w:val="00000D62"/>
    <w:rsid w:val="00000EC8"/>
    <w:rsid w:val="00000F26"/>
    <w:rsid w:val="00001258"/>
    <w:rsid w:val="00001587"/>
    <w:rsid w:val="00001836"/>
    <w:rsid w:val="00001C91"/>
    <w:rsid w:val="00001CE4"/>
    <w:rsid w:val="00002283"/>
    <w:rsid w:val="000024AF"/>
    <w:rsid w:val="000033F6"/>
    <w:rsid w:val="0000362A"/>
    <w:rsid w:val="00003AEF"/>
    <w:rsid w:val="00003BE2"/>
    <w:rsid w:val="00003F4F"/>
    <w:rsid w:val="000042E3"/>
    <w:rsid w:val="0000480A"/>
    <w:rsid w:val="00004858"/>
    <w:rsid w:val="0000490E"/>
    <w:rsid w:val="00004D7F"/>
    <w:rsid w:val="00005540"/>
    <w:rsid w:val="00005701"/>
    <w:rsid w:val="00005D1F"/>
    <w:rsid w:val="00005F5D"/>
    <w:rsid w:val="00006AA9"/>
    <w:rsid w:val="00007056"/>
    <w:rsid w:val="0000708C"/>
    <w:rsid w:val="00007450"/>
    <w:rsid w:val="00007528"/>
    <w:rsid w:val="0000752A"/>
    <w:rsid w:val="0000775C"/>
    <w:rsid w:val="00007B44"/>
    <w:rsid w:val="0001062A"/>
    <w:rsid w:val="00010A44"/>
    <w:rsid w:val="00010CBB"/>
    <w:rsid w:val="0001125F"/>
    <w:rsid w:val="00011299"/>
    <w:rsid w:val="000112FD"/>
    <w:rsid w:val="000113B0"/>
    <w:rsid w:val="0001164F"/>
    <w:rsid w:val="0001170D"/>
    <w:rsid w:val="00011731"/>
    <w:rsid w:val="00012299"/>
    <w:rsid w:val="0001289F"/>
    <w:rsid w:val="0001297B"/>
    <w:rsid w:val="00012EA4"/>
    <w:rsid w:val="00013730"/>
    <w:rsid w:val="00013C26"/>
    <w:rsid w:val="00013DA7"/>
    <w:rsid w:val="000147DC"/>
    <w:rsid w:val="00014869"/>
    <w:rsid w:val="000149B9"/>
    <w:rsid w:val="00014D59"/>
    <w:rsid w:val="00014D6B"/>
    <w:rsid w:val="000150D3"/>
    <w:rsid w:val="00015588"/>
    <w:rsid w:val="00015C77"/>
    <w:rsid w:val="0001613F"/>
    <w:rsid w:val="000163A5"/>
    <w:rsid w:val="000166C1"/>
    <w:rsid w:val="00016871"/>
    <w:rsid w:val="0001689D"/>
    <w:rsid w:val="00016930"/>
    <w:rsid w:val="00016974"/>
    <w:rsid w:val="00016AA9"/>
    <w:rsid w:val="00016E33"/>
    <w:rsid w:val="00017439"/>
    <w:rsid w:val="00017466"/>
    <w:rsid w:val="00017588"/>
    <w:rsid w:val="00017735"/>
    <w:rsid w:val="00017953"/>
    <w:rsid w:val="00017B41"/>
    <w:rsid w:val="00017B53"/>
    <w:rsid w:val="00020012"/>
    <w:rsid w:val="0002006B"/>
    <w:rsid w:val="000209C6"/>
    <w:rsid w:val="00020AE8"/>
    <w:rsid w:val="00020F2D"/>
    <w:rsid w:val="00021245"/>
    <w:rsid w:val="000212BB"/>
    <w:rsid w:val="00021397"/>
    <w:rsid w:val="000215DC"/>
    <w:rsid w:val="00021890"/>
    <w:rsid w:val="000219B4"/>
    <w:rsid w:val="000225F7"/>
    <w:rsid w:val="00022794"/>
    <w:rsid w:val="00022910"/>
    <w:rsid w:val="00022F5B"/>
    <w:rsid w:val="00023150"/>
    <w:rsid w:val="000233B7"/>
    <w:rsid w:val="000239AC"/>
    <w:rsid w:val="00023A2C"/>
    <w:rsid w:val="00023AB1"/>
    <w:rsid w:val="00023E42"/>
    <w:rsid w:val="000240BB"/>
    <w:rsid w:val="00024169"/>
    <w:rsid w:val="00024339"/>
    <w:rsid w:val="0002454A"/>
    <w:rsid w:val="00024885"/>
    <w:rsid w:val="00024ADC"/>
    <w:rsid w:val="00024F65"/>
    <w:rsid w:val="0002526F"/>
    <w:rsid w:val="00025925"/>
    <w:rsid w:val="00025972"/>
    <w:rsid w:val="00025DFC"/>
    <w:rsid w:val="00025EBE"/>
    <w:rsid w:val="00025FAF"/>
    <w:rsid w:val="00026174"/>
    <w:rsid w:val="00026219"/>
    <w:rsid w:val="0002679F"/>
    <w:rsid w:val="00026B08"/>
    <w:rsid w:val="00026BF2"/>
    <w:rsid w:val="00026D5E"/>
    <w:rsid w:val="00026DC0"/>
    <w:rsid w:val="000271F6"/>
    <w:rsid w:val="000273BE"/>
    <w:rsid w:val="00027415"/>
    <w:rsid w:val="0002774F"/>
    <w:rsid w:val="000278A4"/>
    <w:rsid w:val="0003007F"/>
    <w:rsid w:val="0003039C"/>
    <w:rsid w:val="00030445"/>
    <w:rsid w:val="000305F7"/>
    <w:rsid w:val="00031339"/>
    <w:rsid w:val="0003177A"/>
    <w:rsid w:val="000318C7"/>
    <w:rsid w:val="00031A15"/>
    <w:rsid w:val="00031D56"/>
    <w:rsid w:val="000324A9"/>
    <w:rsid w:val="00032B6F"/>
    <w:rsid w:val="00032F40"/>
    <w:rsid w:val="0003321F"/>
    <w:rsid w:val="0003344A"/>
    <w:rsid w:val="00033665"/>
    <w:rsid w:val="00033D26"/>
    <w:rsid w:val="00033E7C"/>
    <w:rsid w:val="00033FDB"/>
    <w:rsid w:val="0003418C"/>
    <w:rsid w:val="0003435D"/>
    <w:rsid w:val="000344F6"/>
    <w:rsid w:val="0003461F"/>
    <w:rsid w:val="000346E0"/>
    <w:rsid w:val="00034EF8"/>
    <w:rsid w:val="00035189"/>
    <w:rsid w:val="0003545B"/>
    <w:rsid w:val="00035D24"/>
    <w:rsid w:val="00035E20"/>
    <w:rsid w:val="00035EEE"/>
    <w:rsid w:val="00035F30"/>
    <w:rsid w:val="000360E2"/>
    <w:rsid w:val="000360EE"/>
    <w:rsid w:val="0003649F"/>
    <w:rsid w:val="00036ABC"/>
    <w:rsid w:val="00036B72"/>
    <w:rsid w:val="00036DA2"/>
    <w:rsid w:val="00036E20"/>
    <w:rsid w:val="000370ED"/>
    <w:rsid w:val="0003778F"/>
    <w:rsid w:val="0003779F"/>
    <w:rsid w:val="00040065"/>
    <w:rsid w:val="000405A6"/>
    <w:rsid w:val="00041424"/>
    <w:rsid w:val="0004156C"/>
    <w:rsid w:val="00041BCC"/>
    <w:rsid w:val="00042041"/>
    <w:rsid w:val="00042263"/>
    <w:rsid w:val="00042BA3"/>
    <w:rsid w:val="00042C7E"/>
    <w:rsid w:val="00042F0F"/>
    <w:rsid w:val="00042F75"/>
    <w:rsid w:val="00043505"/>
    <w:rsid w:val="00043568"/>
    <w:rsid w:val="00043664"/>
    <w:rsid w:val="00043C70"/>
    <w:rsid w:val="00043E1A"/>
    <w:rsid w:val="00043E88"/>
    <w:rsid w:val="00044042"/>
    <w:rsid w:val="000442E1"/>
    <w:rsid w:val="00044BD3"/>
    <w:rsid w:val="000452D4"/>
    <w:rsid w:val="00045968"/>
    <w:rsid w:val="00045A46"/>
    <w:rsid w:val="00045F36"/>
    <w:rsid w:val="00046630"/>
    <w:rsid w:val="00046FA0"/>
    <w:rsid w:val="000474D2"/>
    <w:rsid w:val="00047649"/>
    <w:rsid w:val="00047680"/>
    <w:rsid w:val="000479C5"/>
    <w:rsid w:val="00047E8C"/>
    <w:rsid w:val="00047F08"/>
    <w:rsid w:val="000502FB"/>
    <w:rsid w:val="000503F6"/>
    <w:rsid w:val="00050BDC"/>
    <w:rsid w:val="00050C73"/>
    <w:rsid w:val="00050D95"/>
    <w:rsid w:val="00050DFD"/>
    <w:rsid w:val="0005140C"/>
    <w:rsid w:val="00051702"/>
    <w:rsid w:val="000518BD"/>
    <w:rsid w:val="00051974"/>
    <w:rsid w:val="00051B4B"/>
    <w:rsid w:val="00052632"/>
    <w:rsid w:val="000528AF"/>
    <w:rsid w:val="0005341E"/>
    <w:rsid w:val="00053642"/>
    <w:rsid w:val="00053809"/>
    <w:rsid w:val="00053914"/>
    <w:rsid w:val="00054756"/>
    <w:rsid w:val="00054EED"/>
    <w:rsid w:val="00054FCE"/>
    <w:rsid w:val="000556C8"/>
    <w:rsid w:val="00055B4F"/>
    <w:rsid w:val="00055BAB"/>
    <w:rsid w:val="000560C5"/>
    <w:rsid w:val="00056C49"/>
    <w:rsid w:val="00056FE0"/>
    <w:rsid w:val="0005707F"/>
    <w:rsid w:val="00057128"/>
    <w:rsid w:val="000574F0"/>
    <w:rsid w:val="00060090"/>
    <w:rsid w:val="00060245"/>
    <w:rsid w:val="000603C8"/>
    <w:rsid w:val="0006082D"/>
    <w:rsid w:val="00060879"/>
    <w:rsid w:val="000608A4"/>
    <w:rsid w:val="00060AA1"/>
    <w:rsid w:val="0006156F"/>
    <w:rsid w:val="00061A8D"/>
    <w:rsid w:val="00061FEE"/>
    <w:rsid w:val="00062F41"/>
    <w:rsid w:val="00063000"/>
    <w:rsid w:val="000630B2"/>
    <w:rsid w:val="00063117"/>
    <w:rsid w:val="000631FD"/>
    <w:rsid w:val="000633E9"/>
    <w:rsid w:val="0006349D"/>
    <w:rsid w:val="00063856"/>
    <w:rsid w:val="00063D52"/>
    <w:rsid w:val="00063DE0"/>
    <w:rsid w:val="00063FE3"/>
    <w:rsid w:val="00064170"/>
    <w:rsid w:val="000643BD"/>
    <w:rsid w:val="000643D3"/>
    <w:rsid w:val="000645B5"/>
    <w:rsid w:val="0006464E"/>
    <w:rsid w:val="00064D5D"/>
    <w:rsid w:val="00064DCA"/>
    <w:rsid w:val="000650B2"/>
    <w:rsid w:val="00065327"/>
    <w:rsid w:val="00065891"/>
    <w:rsid w:val="00065B0D"/>
    <w:rsid w:val="00065DFC"/>
    <w:rsid w:val="00065EBA"/>
    <w:rsid w:val="00066157"/>
    <w:rsid w:val="00067B16"/>
    <w:rsid w:val="00067E30"/>
    <w:rsid w:val="00070105"/>
    <w:rsid w:val="00070904"/>
    <w:rsid w:val="0007090D"/>
    <w:rsid w:val="00070B6B"/>
    <w:rsid w:val="00070E68"/>
    <w:rsid w:val="000713F8"/>
    <w:rsid w:val="000719F2"/>
    <w:rsid w:val="00071CCC"/>
    <w:rsid w:val="00071F8A"/>
    <w:rsid w:val="0007239E"/>
    <w:rsid w:val="00073CA0"/>
    <w:rsid w:val="00073E04"/>
    <w:rsid w:val="00073E8D"/>
    <w:rsid w:val="00073E9C"/>
    <w:rsid w:val="0007401B"/>
    <w:rsid w:val="00074116"/>
    <w:rsid w:val="000744C4"/>
    <w:rsid w:val="000748C9"/>
    <w:rsid w:val="00075299"/>
    <w:rsid w:val="00075469"/>
    <w:rsid w:val="0007556C"/>
    <w:rsid w:val="000757B2"/>
    <w:rsid w:val="00075BAD"/>
    <w:rsid w:val="00075D87"/>
    <w:rsid w:val="00075EDC"/>
    <w:rsid w:val="00076111"/>
    <w:rsid w:val="0007628D"/>
    <w:rsid w:val="000762CC"/>
    <w:rsid w:val="000769B7"/>
    <w:rsid w:val="00076BB1"/>
    <w:rsid w:val="00076EC8"/>
    <w:rsid w:val="00076F88"/>
    <w:rsid w:val="00077146"/>
    <w:rsid w:val="00077549"/>
    <w:rsid w:val="00077579"/>
    <w:rsid w:val="000777DF"/>
    <w:rsid w:val="00077C12"/>
    <w:rsid w:val="00077E04"/>
    <w:rsid w:val="00080049"/>
    <w:rsid w:val="0008033D"/>
    <w:rsid w:val="00080449"/>
    <w:rsid w:val="00080891"/>
    <w:rsid w:val="00080920"/>
    <w:rsid w:val="00080CA6"/>
    <w:rsid w:val="00080F5F"/>
    <w:rsid w:val="0008119A"/>
    <w:rsid w:val="00081265"/>
    <w:rsid w:val="00081A77"/>
    <w:rsid w:val="00081BB8"/>
    <w:rsid w:val="00081DAB"/>
    <w:rsid w:val="00081EEA"/>
    <w:rsid w:val="0008290F"/>
    <w:rsid w:val="00083A03"/>
    <w:rsid w:val="00083B3F"/>
    <w:rsid w:val="00083D1D"/>
    <w:rsid w:val="00083EA6"/>
    <w:rsid w:val="0008436B"/>
    <w:rsid w:val="000846A8"/>
    <w:rsid w:val="00084740"/>
    <w:rsid w:val="00084B8E"/>
    <w:rsid w:val="00085441"/>
    <w:rsid w:val="00085484"/>
    <w:rsid w:val="00085551"/>
    <w:rsid w:val="0008555B"/>
    <w:rsid w:val="0008584D"/>
    <w:rsid w:val="0008590E"/>
    <w:rsid w:val="00085A9B"/>
    <w:rsid w:val="00085AFD"/>
    <w:rsid w:val="00086011"/>
    <w:rsid w:val="00086393"/>
    <w:rsid w:val="00086547"/>
    <w:rsid w:val="000865A7"/>
    <w:rsid w:val="000873AD"/>
    <w:rsid w:val="0009013A"/>
    <w:rsid w:val="00090A64"/>
    <w:rsid w:val="00091A00"/>
    <w:rsid w:val="00091E1A"/>
    <w:rsid w:val="00092829"/>
    <w:rsid w:val="00092880"/>
    <w:rsid w:val="00092B09"/>
    <w:rsid w:val="00092D74"/>
    <w:rsid w:val="000930D7"/>
    <w:rsid w:val="00093184"/>
    <w:rsid w:val="000931DC"/>
    <w:rsid w:val="000931FC"/>
    <w:rsid w:val="000932BE"/>
    <w:rsid w:val="0009351E"/>
    <w:rsid w:val="000938FD"/>
    <w:rsid w:val="00094122"/>
    <w:rsid w:val="00094474"/>
    <w:rsid w:val="0009455A"/>
    <w:rsid w:val="0009479A"/>
    <w:rsid w:val="000947FF"/>
    <w:rsid w:val="00094AD6"/>
    <w:rsid w:val="00094F0D"/>
    <w:rsid w:val="00095058"/>
    <w:rsid w:val="00095446"/>
    <w:rsid w:val="00095923"/>
    <w:rsid w:val="00095D61"/>
    <w:rsid w:val="00095E44"/>
    <w:rsid w:val="00095F28"/>
    <w:rsid w:val="00096384"/>
    <w:rsid w:val="00096CA0"/>
    <w:rsid w:val="00096CCE"/>
    <w:rsid w:val="00096D8D"/>
    <w:rsid w:val="00096E1E"/>
    <w:rsid w:val="0009755A"/>
    <w:rsid w:val="00097EB2"/>
    <w:rsid w:val="000A0D63"/>
    <w:rsid w:val="000A101F"/>
    <w:rsid w:val="000A1082"/>
    <w:rsid w:val="000A1232"/>
    <w:rsid w:val="000A1CA3"/>
    <w:rsid w:val="000A21FF"/>
    <w:rsid w:val="000A2761"/>
    <w:rsid w:val="000A2BB6"/>
    <w:rsid w:val="000A30E5"/>
    <w:rsid w:val="000A360A"/>
    <w:rsid w:val="000A3AD7"/>
    <w:rsid w:val="000A3C91"/>
    <w:rsid w:val="000A3FAF"/>
    <w:rsid w:val="000A40D0"/>
    <w:rsid w:val="000A40E6"/>
    <w:rsid w:val="000A448D"/>
    <w:rsid w:val="000A492A"/>
    <w:rsid w:val="000A4CAA"/>
    <w:rsid w:val="000A55D3"/>
    <w:rsid w:val="000A5C3D"/>
    <w:rsid w:val="000A6053"/>
    <w:rsid w:val="000A6054"/>
    <w:rsid w:val="000A6134"/>
    <w:rsid w:val="000A6296"/>
    <w:rsid w:val="000A661B"/>
    <w:rsid w:val="000A698F"/>
    <w:rsid w:val="000A6EE5"/>
    <w:rsid w:val="000A70A9"/>
    <w:rsid w:val="000A7608"/>
    <w:rsid w:val="000A774D"/>
    <w:rsid w:val="000A776A"/>
    <w:rsid w:val="000A7B64"/>
    <w:rsid w:val="000A7B84"/>
    <w:rsid w:val="000B0097"/>
    <w:rsid w:val="000B010F"/>
    <w:rsid w:val="000B0142"/>
    <w:rsid w:val="000B01F6"/>
    <w:rsid w:val="000B074D"/>
    <w:rsid w:val="000B07A6"/>
    <w:rsid w:val="000B0BF5"/>
    <w:rsid w:val="000B0F01"/>
    <w:rsid w:val="000B101F"/>
    <w:rsid w:val="000B1032"/>
    <w:rsid w:val="000B15EC"/>
    <w:rsid w:val="000B1A4E"/>
    <w:rsid w:val="000B1F4B"/>
    <w:rsid w:val="000B2116"/>
    <w:rsid w:val="000B28BA"/>
    <w:rsid w:val="000B29E5"/>
    <w:rsid w:val="000B2C5C"/>
    <w:rsid w:val="000B2F27"/>
    <w:rsid w:val="000B2F58"/>
    <w:rsid w:val="000B3189"/>
    <w:rsid w:val="000B31A0"/>
    <w:rsid w:val="000B33EB"/>
    <w:rsid w:val="000B37A8"/>
    <w:rsid w:val="000B3A89"/>
    <w:rsid w:val="000B46B6"/>
    <w:rsid w:val="000B46E7"/>
    <w:rsid w:val="000B49A1"/>
    <w:rsid w:val="000B4D39"/>
    <w:rsid w:val="000B4D5C"/>
    <w:rsid w:val="000B4FE4"/>
    <w:rsid w:val="000B51D9"/>
    <w:rsid w:val="000B6028"/>
    <w:rsid w:val="000B6838"/>
    <w:rsid w:val="000B6CFD"/>
    <w:rsid w:val="000B6FF0"/>
    <w:rsid w:val="000B78F5"/>
    <w:rsid w:val="000B7914"/>
    <w:rsid w:val="000B79C6"/>
    <w:rsid w:val="000C03FB"/>
    <w:rsid w:val="000C05E2"/>
    <w:rsid w:val="000C0702"/>
    <w:rsid w:val="000C0787"/>
    <w:rsid w:val="000C082F"/>
    <w:rsid w:val="000C09AA"/>
    <w:rsid w:val="000C10B3"/>
    <w:rsid w:val="000C12D1"/>
    <w:rsid w:val="000C136F"/>
    <w:rsid w:val="000C153E"/>
    <w:rsid w:val="000C1CC3"/>
    <w:rsid w:val="000C2491"/>
    <w:rsid w:val="000C29A5"/>
    <w:rsid w:val="000C308F"/>
    <w:rsid w:val="000C3531"/>
    <w:rsid w:val="000C39FF"/>
    <w:rsid w:val="000C43E0"/>
    <w:rsid w:val="000C43E5"/>
    <w:rsid w:val="000C4A06"/>
    <w:rsid w:val="000C4B87"/>
    <w:rsid w:val="000C4EE7"/>
    <w:rsid w:val="000C5A4E"/>
    <w:rsid w:val="000C5DE2"/>
    <w:rsid w:val="000C6104"/>
    <w:rsid w:val="000C635D"/>
    <w:rsid w:val="000C689F"/>
    <w:rsid w:val="000C7133"/>
    <w:rsid w:val="000C7285"/>
    <w:rsid w:val="000C7F49"/>
    <w:rsid w:val="000C7FA6"/>
    <w:rsid w:val="000D01A7"/>
    <w:rsid w:val="000D06DD"/>
    <w:rsid w:val="000D097C"/>
    <w:rsid w:val="000D09E0"/>
    <w:rsid w:val="000D09FE"/>
    <w:rsid w:val="000D0C9D"/>
    <w:rsid w:val="000D13BC"/>
    <w:rsid w:val="000D142D"/>
    <w:rsid w:val="000D154D"/>
    <w:rsid w:val="000D1A3F"/>
    <w:rsid w:val="000D1AEE"/>
    <w:rsid w:val="000D1C9C"/>
    <w:rsid w:val="000D1F4F"/>
    <w:rsid w:val="000D211E"/>
    <w:rsid w:val="000D232E"/>
    <w:rsid w:val="000D277B"/>
    <w:rsid w:val="000D2A11"/>
    <w:rsid w:val="000D2C9A"/>
    <w:rsid w:val="000D3B0B"/>
    <w:rsid w:val="000D3C70"/>
    <w:rsid w:val="000D3C9D"/>
    <w:rsid w:val="000D41D9"/>
    <w:rsid w:val="000D41E0"/>
    <w:rsid w:val="000D43F1"/>
    <w:rsid w:val="000D496E"/>
    <w:rsid w:val="000D4A34"/>
    <w:rsid w:val="000D4A4C"/>
    <w:rsid w:val="000D4ADA"/>
    <w:rsid w:val="000D4D07"/>
    <w:rsid w:val="000D4F93"/>
    <w:rsid w:val="000D540F"/>
    <w:rsid w:val="000D5D9F"/>
    <w:rsid w:val="000D6807"/>
    <w:rsid w:val="000D696A"/>
    <w:rsid w:val="000D7535"/>
    <w:rsid w:val="000D76A3"/>
    <w:rsid w:val="000D77CE"/>
    <w:rsid w:val="000D786F"/>
    <w:rsid w:val="000E0768"/>
    <w:rsid w:val="000E0922"/>
    <w:rsid w:val="000E0F73"/>
    <w:rsid w:val="000E11E5"/>
    <w:rsid w:val="000E144F"/>
    <w:rsid w:val="000E15FB"/>
    <w:rsid w:val="000E165D"/>
    <w:rsid w:val="000E1816"/>
    <w:rsid w:val="000E1957"/>
    <w:rsid w:val="000E19AF"/>
    <w:rsid w:val="000E1BAF"/>
    <w:rsid w:val="000E223E"/>
    <w:rsid w:val="000E2431"/>
    <w:rsid w:val="000E2491"/>
    <w:rsid w:val="000E2B03"/>
    <w:rsid w:val="000E2E8D"/>
    <w:rsid w:val="000E2EA9"/>
    <w:rsid w:val="000E372A"/>
    <w:rsid w:val="000E3B81"/>
    <w:rsid w:val="000E3D23"/>
    <w:rsid w:val="000E42DA"/>
    <w:rsid w:val="000E4319"/>
    <w:rsid w:val="000E44BD"/>
    <w:rsid w:val="000E46A3"/>
    <w:rsid w:val="000E4A91"/>
    <w:rsid w:val="000E4E72"/>
    <w:rsid w:val="000E4E88"/>
    <w:rsid w:val="000E529D"/>
    <w:rsid w:val="000E541B"/>
    <w:rsid w:val="000E5726"/>
    <w:rsid w:val="000E5B4B"/>
    <w:rsid w:val="000E5DD9"/>
    <w:rsid w:val="000E61FE"/>
    <w:rsid w:val="000E65C0"/>
    <w:rsid w:val="000E6C1D"/>
    <w:rsid w:val="000E6C94"/>
    <w:rsid w:val="000E6C95"/>
    <w:rsid w:val="000E77A0"/>
    <w:rsid w:val="000E785B"/>
    <w:rsid w:val="000E7C0C"/>
    <w:rsid w:val="000E7E3A"/>
    <w:rsid w:val="000F0759"/>
    <w:rsid w:val="000F0BFB"/>
    <w:rsid w:val="000F0EAE"/>
    <w:rsid w:val="000F1375"/>
    <w:rsid w:val="000F1597"/>
    <w:rsid w:val="000F1B42"/>
    <w:rsid w:val="000F1BB2"/>
    <w:rsid w:val="000F217A"/>
    <w:rsid w:val="000F2311"/>
    <w:rsid w:val="000F2841"/>
    <w:rsid w:val="000F29B5"/>
    <w:rsid w:val="000F2D1F"/>
    <w:rsid w:val="000F2EC6"/>
    <w:rsid w:val="000F2F4C"/>
    <w:rsid w:val="000F3128"/>
    <w:rsid w:val="000F3654"/>
    <w:rsid w:val="000F39B4"/>
    <w:rsid w:val="000F3F94"/>
    <w:rsid w:val="000F4042"/>
    <w:rsid w:val="000F4712"/>
    <w:rsid w:val="000F5089"/>
    <w:rsid w:val="000F5235"/>
    <w:rsid w:val="000F5787"/>
    <w:rsid w:val="000F5B21"/>
    <w:rsid w:val="000F5B7C"/>
    <w:rsid w:val="000F6491"/>
    <w:rsid w:val="000F6B9F"/>
    <w:rsid w:val="000F6D00"/>
    <w:rsid w:val="000F6D5D"/>
    <w:rsid w:val="000F6F1C"/>
    <w:rsid w:val="000F7137"/>
    <w:rsid w:val="000F766A"/>
    <w:rsid w:val="000F7959"/>
    <w:rsid w:val="000F7998"/>
    <w:rsid w:val="001001E1"/>
    <w:rsid w:val="001003C5"/>
    <w:rsid w:val="00100936"/>
    <w:rsid w:val="00100BF0"/>
    <w:rsid w:val="00100F9F"/>
    <w:rsid w:val="00101605"/>
    <w:rsid w:val="00101B60"/>
    <w:rsid w:val="00101F9C"/>
    <w:rsid w:val="0010276B"/>
    <w:rsid w:val="00102EEA"/>
    <w:rsid w:val="0010342F"/>
    <w:rsid w:val="001034BA"/>
    <w:rsid w:val="00103501"/>
    <w:rsid w:val="0010380F"/>
    <w:rsid w:val="00103B2D"/>
    <w:rsid w:val="00103CD2"/>
    <w:rsid w:val="00103F4E"/>
    <w:rsid w:val="00104061"/>
    <w:rsid w:val="001043CA"/>
    <w:rsid w:val="00105558"/>
    <w:rsid w:val="001056FA"/>
    <w:rsid w:val="00105787"/>
    <w:rsid w:val="001059A7"/>
    <w:rsid w:val="00105C89"/>
    <w:rsid w:val="0010616D"/>
    <w:rsid w:val="001064A0"/>
    <w:rsid w:val="001067CC"/>
    <w:rsid w:val="001067F9"/>
    <w:rsid w:val="00107186"/>
    <w:rsid w:val="00107236"/>
    <w:rsid w:val="001074B3"/>
    <w:rsid w:val="00107ACE"/>
    <w:rsid w:val="00107CDA"/>
    <w:rsid w:val="00107F0F"/>
    <w:rsid w:val="001101A2"/>
    <w:rsid w:val="00110504"/>
    <w:rsid w:val="001106F7"/>
    <w:rsid w:val="001108A9"/>
    <w:rsid w:val="00110A59"/>
    <w:rsid w:val="00110FB5"/>
    <w:rsid w:val="001111FD"/>
    <w:rsid w:val="00111630"/>
    <w:rsid w:val="00111DAA"/>
    <w:rsid w:val="001120F8"/>
    <w:rsid w:val="001122B1"/>
    <w:rsid w:val="00112CB6"/>
    <w:rsid w:val="00112EAC"/>
    <w:rsid w:val="00112EDA"/>
    <w:rsid w:val="0011342C"/>
    <w:rsid w:val="00113500"/>
    <w:rsid w:val="001136C0"/>
    <w:rsid w:val="0011405E"/>
    <w:rsid w:val="00114062"/>
    <w:rsid w:val="00114174"/>
    <w:rsid w:val="00114263"/>
    <w:rsid w:val="00114301"/>
    <w:rsid w:val="00114488"/>
    <w:rsid w:val="001146BC"/>
    <w:rsid w:val="00114EDC"/>
    <w:rsid w:val="0011500A"/>
    <w:rsid w:val="001156F1"/>
    <w:rsid w:val="00115EBD"/>
    <w:rsid w:val="0011651D"/>
    <w:rsid w:val="00116697"/>
    <w:rsid w:val="001168A0"/>
    <w:rsid w:val="00116E05"/>
    <w:rsid w:val="00116E15"/>
    <w:rsid w:val="00116F5C"/>
    <w:rsid w:val="00117228"/>
    <w:rsid w:val="00117A1C"/>
    <w:rsid w:val="00117B4A"/>
    <w:rsid w:val="00117C1D"/>
    <w:rsid w:val="00120EF8"/>
    <w:rsid w:val="0012141C"/>
    <w:rsid w:val="001215EC"/>
    <w:rsid w:val="0012185D"/>
    <w:rsid w:val="00121BC9"/>
    <w:rsid w:val="00121FB4"/>
    <w:rsid w:val="0012215E"/>
    <w:rsid w:val="0012239A"/>
    <w:rsid w:val="0012288B"/>
    <w:rsid w:val="001228EE"/>
    <w:rsid w:val="001229D5"/>
    <w:rsid w:val="00122F28"/>
    <w:rsid w:val="001230FB"/>
    <w:rsid w:val="00123688"/>
    <w:rsid w:val="0012430F"/>
    <w:rsid w:val="001243E3"/>
    <w:rsid w:val="0012470E"/>
    <w:rsid w:val="001248DB"/>
    <w:rsid w:val="00124F6D"/>
    <w:rsid w:val="001253D1"/>
    <w:rsid w:val="00125708"/>
    <w:rsid w:val="001258E7"/>
    <w:rsid w:val="00125CA8"/>
    <w:rsid w:val="00125D9F"/>
    <w:rsid w:val="00125EE4"/>
    <w:rsid w:val="001261DC"/>
    <w:rsid w:val="00126219"/>
    <w:rsid w:val="001262D1"/>
    <w:rsid w:val="00126337"/>
    <w:rsid w:val="001264AF"/>
    <w:rsid w:val="00126BE0"/>
    <w:rsid w:val="00126C46"/>
    <w:rsid w:val="0012712C"/>
    <w:rsid w:val="00127199"/>
    <w:rsid w:val="00127626"/>
    <w:rsid w:val="00127A56"/>
    <w:rsid w:val="00127C22"/>
    <w:rsid w:val="00127F47"/>
    <w:rsid w:val="00130B70"/>
    <w:rsid w:val="00130FB5"/>
    <w:rsid w:val="0013152B"/>
    <w:rsid w:val="00131570"/>
    <w:rsid w:val="001325D8"/>
    <w:rsid w:val="0013284D"/>
    <w:rsid w:val="00133549"/>
    <w:rsid w:val="00133572"/>
    <w:rsid w:val="001337A2"/>
    <w:rsid w:val="00133D72"/>
    <w:rsid w:val="00134812"/>
    <w:rsid w:val="00134E4A"/>
    <w:rsid w:val="001350CC"/>
    <w:rsid w:val="00135247"/>
    <w:rsid w:val="0013524B"/>
    <w:rsid w:val="00135B8F"/>
    <w:rsid w:val="00135C05"/>
    <w:rsid w:val="0013601C"/>
    <w:rsid w:val="001360F4"/>
    <w:rsid w:val="00136412"/>
    <w:rsid w:val="001364FB"/>
    <w:rsid w:val="00136561"/>
    <w:rsid w:val="001365F2"/>
    <w:rsid w:val="0013695F"/>
    <w:rsid w:val="00136D7A"/>
    <w:rsid w:val="001370D0"/>
    <w:rsid w:val="00137168"/>
    <w:rsid w:val="0013741F"/>
    <w:rsid w:val="0013747B"/>
    <w:rsid w:val="001374C5"/>
    <w:rsid w:val="00137563"/>
    <w:rsid w:val="00137986"/>
    <w:rsid w:val="00137E0C"/>
    <w:rsid w:val="00140171"/>
    <w:rsid w:val="001401DB"/>
    <w:rsid w:val="001407F7"/>
    <w:rsid w:val="00140A0B"/>
    <w:rsid w:val="00140A1A"/>
    <w:rsid w:val="00141470"/>
    <w:rsid w:val="00141540"/>
    <w:rsid w:val="00141AEF"/>
    <w:rsid w:val="00141B24"/>
    <w:rsid w:val="00141B69"/>
    <w:rsid w:val="00141CBA"/>
    <w:rsid w:val="001424B9"/>
    <w:rsid w:val="00142511"/>
    <w:rsid w:val="00142B8F"/>
    <w:rsid w:val="001432E7"/>
    <w:rsid w:val="001433BC"/>
    <w:rsid w:val="001433C1"/>
    <w:rsid w:val="00144056"/>
    <w:rsid w:val="001441DB"/>
    <w:rsid w:val="0014432E"/>
    <w:rsid w:val="001449DF"/>
    <w:rsid w:val="00144C46"/>
    <w:rsid w:val="00145052"/>
    <w:rsid w:val="001455EF"/>
    <w:rsid w:val="0014569B"/>
    <w:rsid w:val="00145E29"/>
    <w:rsid w:val="00146300"/>
    <w:rsid w:val="0014655B"/>
    <w:rsid w:val="001465FB"/>
    <w:rsid w:val="00146780"/>
    <w:rsid w:val="00146963"/>
    <w:rsid w:val="00146B94"/>
    <w:rsid w:val="00146C17"/>
    <w:rsid w:val="00146DF6"/>
    <w:rsid w:val="00147078"/>
    <w:rsid w:val="001470BF"/>
    <w:rsid w:val="001470E0"/>
    <w:rsid w:val="001477B2"/>
    <w:rsid w:val="00147E83"/>
    <w:rsid w:val="00150060"/>
    <w:rsid w:val="0015025F"/>
    <w:rsid w:val="00150338"/>
    <w:rsid w:val="0015070A"/>
    <w:rsid w:val="001508EF"/>
    <w:rsid w:val="00150969"/>
    <w:rsid w:val="001509D2"/>
    <w:rsid w:val="00150B28"/>
    <w:rsid w:val="00150D47"/>
    <w:rsid w:val="00150FD6"/>
    <w:rsid w:val="00151036"/>
    <w:rsid w:val="00151157"/>
    <w:rsid w:val="001515F2"/>
    <w:rsid w:val="0015163C"/>
    <w:rsid w:val="001518F9"/>
    <w:rsid w:val="0015191C"/>
    <w:rsid w:val="00151D34"/>
    <w:rsid w:val="00152092"/>
    <w:rsid w:val="00152CE9"/>
    <w:rsid w:val="001534E2"/>
    <w:rsid w:val="001536EF"/>
    <w:rsid w:val="001538A9"/>
    <w:rsid w:val="00154020"/>
    <w:rsid w:val="001543C1"/>
    <w:rsid w:val="0015460E"/>
    <w:rsid w:val="001546E1"/>
    <w:rsid w:val="001549E7"/>
    <w:rsid w:val="00154C69"/>
    <w:rsid w:val="0015529E"/>
    <w:rsid w:val="001556BE"/>
    <w:rsid w:val="00155F86"/>
    <w:rsid w:val="00156B3E"/>
    <w:rsid w:val="00156B85"/>
    <w:rsid w:val="00156E5A"/>
    <w:rsid w:val="0015704C"/>
    <w:rsid w:val="00157218"/>
    <w:rsid w:val="00157752"/>
    <w:rsid w:val="00157895"/>
    <w:rsid w:val="001579F1"/>
    <w:rsid w:val="00157AFF"/>
    <w:rsid w:val="00157D01"/>
    <w:rsid w:val="001601C5"/>
    <w:rsid w:val="00160220"/>
    <w:rsid w:val="001604EC"/>
    <w:rsid w:val="00161701"/>
    <w:rsid w:val="00161A51"/>
    <w:rsid w:val="00161E87"/>
    <w:rsid w:val="001621BC"/>
    <w:rsid w:val="001627A5"/>
    <w:rsid w:val="001627FD"/>
    <w:rsid w:val="0016307D"/>
    <w:rsid w:val="001635A3"/>
    <w:rsid w:val="0016364D"/>
    <w:rsid w:val="00163A19"/>
    <w:rsid w:val="00163CEE"/>
    <w:rsid w:val="001647CD"/>
    <w:rsid w:val="00164F2E"/>
    <w:rsid w:val="00164F6F"/>
    <w:rsid w:val="00164FAD"/>
    <w:rsid w:val="00165571"/>
    <w:rsid w:val="0016566C"/>
    <w:rsid w:val="001659AC"/>
    <w:rsid w:val="00165EB3"/>
    <w:rsid w:val="001663AF"/>
    <w:rsid w:val="001666F9"/>
    <w:rsid w:val="00166E0C"/>
    <w:rsid w:val="00167177"/>
    <w:rsid w:val="00167831"/>
    <w:rsid w:val="00167D5D"/>
    <w:rsid w:val="00167F84"/>
    <w:rsid w:val="00170432"/>
    <w:rsid w:val="0017046C"/>
    <w:rsid w:val="00170785"/>
    <w:rsid w:val="00170DAA"/>
    <w:rsid w:val="00171237"/>
    <w:rsid w:val="001712AC"/>
    <w:rsid w:val="00171439"/>
    <w:rsid w:val="0017149A"/>
    <w:rsid w:val="001716E1"/>
    <w:rsid w:val="00171921"/>
    <w:rsid w:val="001727F0"/>
    <w:rsid w:val="00172B06"/>
    <w:rsid w:val="00172C7C"/>
    <w:rsid w:val="00172F7C"/>
    <w:rsid w:val="00173184"/>
    <w:rsid w:val="0017347E"/>
    <w:rsid w:val="00173663"/>
    <w:rsid w:val="00173716"/>
    <w:rsid w:val="00173A81"/>
    <w:rsid w:val="00173A8A"/>
    <w:rsid w:val="00173E43"/>
    <w:rsid w:val="00173ECD"/>
    <w:rsid w:val="00173F63"/>
    <w:rsid w:val="00174174"/>
    <w:rsid w:val="00174755"/>
    <w:rsid w:val="001752A5"/>
    <w:rsid w:val="001752D8"/>
    <w:rsid w:val="001752DC"/>
    <w:rsid w:val="0017566E"/>
    <w:rsid w:val="001756A1"/>
    <w:rsid w:val="00175931"/>
    <w:rsid w:val="00175CAA"/>
    <w:rsid w:val="0017601D"/>
    <w:rsid w:val="001762FF"/>
    <w:rsid w:val="00176400"/>
    <w:rsid w:val="001767F0"/>
    <w:rsid w:val="001768D9"/>
    <w:rsid w:val="001769DA"/>
    <w:rsid w:val="00176B25"/>
    <w:rsid w:val="00177EAB"/>
    <w:rsid w:val="00180130"/>
    <w:rsid w:val="001804C9"/>
    <w:rsid w:val="00180637"/>
    <w:rsid w:val="00181103"/>
    <w:rsid w:val="00181364"/>
    <w:rsid w:val="00181929"/>
    <w:rsid w:val="00181C96"/>
    <w:rsid w:val="0018238B"/>
    <w:rsid w:val="00182794"/>
    <w:rsid w:val="001827A2"/>
    <w:rsid w:val="001827CE"/>
    <w:rsid w:val="00182B90"/>
    <w:rsid w:val="00182C00"/>
    <w:rsid w:val="00183419"/>
    <w:rsid w:val="00183423"/>
    <w:rsid w:val="00183677"/>
    <w:rsid w:val="001836D2"/>
    <w:rsid w:val="0018394A"/>
    <w:rsid w:val="00183A93"/>
    <w:rsid w:val="00183EB3"/>
    <w:rsid w:val="0018420B"/>
    <w:rsid w:val="00184428"/>
    <w:rsid w:val="001845E1"/>
    <w:rsid w:val="00184A60"/>
    <w:rsid w:val="00184D4A"/>
    <w:rsid w:val="00184DCC"/>
    <w:rsid w:val="0018563A"/>
    <w:rsid w:val="00185769"/>
    <w:rsid w:val="0018583B"/>
    <w:rsid w:val="00185909"/>
    <w:rsid w:val="00185AA2"/>
    <w:rsid w:val="00185C0A"/>
    <w:rsid w:val="00186200"/>
    <w:rsid w:val="0018677F"/>
    <w:rsid w:val="00186A9D"/>
    <w:rsid w:val="0018726C"/>
    <w:rsid w:val="001874A6"/>
    <w:rsid w:val="0018765B"/>
    <w:rsid w:val="0018794B"/>
    <w:rsid w:val="00187C09"/>
    <w:rsid w:val="00187DC4"/>
    <w:rsid w:val="001904AE"/>
    <w:rsid w:val="00190913"/>
    <w:rsid w:val="00190A75"/>
    <w:rsid w:val="00190B7A"/>
    <w:rsid w:val="00190F22"/>
    <w:rsid w:val="00191015"/>
    <w:rsid w:val="00191C23"/>
    <w:rsid w:val="00192168"/>
    <w:rsid w:val="0019236A"/>
    <w:rsid w:val="0019240C"/>
    <w:rsid w:val="0019266F"/>
    <w:rsid w:val="00192908"/>
    <w:rsid w:val="00192C1D"/>
    <w:rsid w:val="00192F6B"/>
    <w:rsid w:val="001930E9"/>
    <w:rsid w:val="001933EF"/>
    <w:rsid w:val="00193779"/>
    <w:rsid w:val="00193B21"/>
    <w:rsid w:val="00193B24"/>
    <w:rsid w:val="00193DD3"/>
    <w:rsid w:val="00194264"/>
    <w:rsid w:val="0019444B"/>
    <w:rsid w:val="00194816"/>
    <w:rsid w:val="001948AA"/>
    <w:rsid w:val="00194A9F"/>
    <w:rsid w:val="00194C37"/>
    <w:rsid w:val="00194E13"/>
    <w:rsid w:val="00194FFF"/>
    <w:rsid w:val="001956BF"/>
    <w:rsid w:val="00195F65"/>
    <w:rsid w:val="00195F91"/>
    <w:rsid w:val="001961AE"/>
    <w:rsid w:val="001964F8"/>
    <w:rsid w:val="00196822"/>
    <w:rsid w:val="00196ED0"/>
    <w:rsid w:val="00197209"/>
    <w:rsid w:val="0019734D"/>
    <w:rsid w:val="001973C3"/>
    <w:rsid w:val="00197E4A"/>
    <w:rsid w:val="001A0367"/>
    <w:rsid w:val="001A03F9"/>
    <w:rsid w:val="001A0576"/>
    <w:rsid w:val="001A07E2"/>
    <w:rsid w:val="001A07EB"/>
    <w:rsid w:val="001A0A5D"/>
    <w:rsid w:val="001A1634"/>
    <w:rsid w:val="001A1ACC"/>
    <w:rsid w:val="001A1BF3"/>
    <w:rsid w:val="001A1E1F"/>
    <w:rsid w:val="001A2018"/>
    <w:rsid w:val="001A22DB"/>
    <w:rsid w:val="001A2E91"/>
    <w:rsid w:val="001A326C"/>
    <w:rsid w:val="001A3429"/>
    <w:rsid w:val="001A3BD1"/>
    <w:rsid w:val="001A4347"/>
    <w:rsid w:val="001A48FD"/>
    <w:rsid w:val="001A4D63"/>
    <w:rsid w:val="001A4E9D"/>
    <w:rsid w:val="001A4FAA"/>
    <w:rsid w:val="001A5487"/>
    <w:rsid w:val="001A56F1"/>
    <w:rsid w:val="001A5750"/>
    <w:rsid w:val="001A5ACD"/>
    <w:rsid w:val="001A5D0E"/>
    <w:rsid w:val="001A5E77"/>
    <w:rsid w:val="001A69A2"/>
    <w:rsid w:val="001A6B10"/>
    <w:rsid w:val="001A6FAD"/>
    <w:rsid w:val="001A6FB0"/>
    <w:rsid w:val="001A7DFA"/>
    <w:rsid w:val="001A7F88"/>
    <w:rsid w:val="001B01C8"/>
    <w:rsid w:val="001B0269"/>
    <w:rsid w:val="001B0804"/>
    <w:rsid w:val="001B0B52"/>
    <w:rsid w:val="001B0C0E"/>
    <w:rsid w:val="001B0C81"/>
    <w:rsid w:val="001B0E6D"/>
    <w:rsid w:val="001B13F6"/>
    <w:rsid w:val="001B1548"/>
    <w:rsid w:val="001B1553"/>
    <w:rsid w:val="001B15A1"/>
    <w:rsid w:val="001B1747"/>
    <w:rsid w:val="001B1C01"/>
    <w:rsid w:val="001B1C04"/>
    <w:rsid w:val="001B1DBF"/>
    <w:rsid w:val="001B1E2A"/>
    <w:rsid w:val="001B22AA"/>
    <w:rsid w:val="001B2D44"/>
    <w:rsid w:val="001B3017"/>
    <w:rsid w:val="001B3115"/>
    <w:rsid w:val="001B317F"/>
    <w:rsid w:val="001B328D"/>
    <w:rsid w:val="001B34A2"/>
    <w:rsid w:val="001B36FA"/>
    <w:rsid w:val="001B3B60"/>
    <w:rsid w:val="001B3E58"/>
    <w:rsid w:val="001B43D8"/>
    <w:rsid w:val="001B49A6"/>
    <w:rsid w:val="001B4A53"/>
    <w:rsid w:val="001B4AC3"/>
    <w:rsid w:val="001B4BAD"/>
    <w:rsid w:val="001B4F6A"/>
    <w:rsid w:val="001B50A9"/>
    <w:rsid w:val="001B5147"/>
    <w:rsid w:val="001B5A55"/>
    <w:rsid w:val="001B5BF1"/>
    <w:rsid w:val="001B5F34"/>
    <w:rsid w:val="001B5F99"/>
    <w:rsid w:val="001B61C1"/>
    <w:rsid w:val="001B6708"/>
    <w:rsid w:val="001B6945"/>
    <w:rsid w:val="001B6946"/>
    <w:rsid w:val="001B6AF7"/>
    <w:rsid w:val="001B6B3B"/>
    <w:rsid w:val="001B7400"/>
    <w:rsid w:val="001B752A"/>
    <w:rsid w:val="001B7643"/>
    <w:rsid w:val="001B79DC"/>
    <w:rsid w:val="001C0098"/>
    <w:rsid w:val="001C034F"/>
    <w:rsid w:val="001C0424"/>
    <w:rsid w:val="001C04EF"/>
    <w:rsid w:val="001C0654"/>
    <w:rsid w:val="001C07AB"/>
    <w:rsid w:val="001C07D2"/>
    <w:rsid w:val="001C0FE5"/>
    <w:rsid w:val="001C12FB"/>
    <w:rsid w:val="001C1D0F"/>
    <w:rsid w:val="001C2C60"/>
    <w:rsid w:val="001C2CE9"/>
    <w:rsid w:val="001C2DB4"/>
    <w:rsid w:val="001C2F3B"/>
    <w:rsid w:val="001C3108"/>
    <w:rsid w:val="001C31FF"/>
    <w:rsid w:val="001C3228"/>
    <w:rsid w:val="001C338A"/>
    <w:rsid w:val="001C3444"/>
    <w:rsid w:val="001C34B1"/>
    <w:rsid w:val="001C35E2"/>
    <w:rsid w:val="001C35E9"/>
    <w:rsid w:val="001C36BD"/>
    <w:rsid w:val="001C3733"/>
    <w:rsid w:val="001C3AA8"/>
    <w:rsid w:val="001C3C3C"/>
    <w:rsid w:val="001C3CE8"/>
    <w:rsid w:val="001C3DA9"/>
    <w:rsid w:val="001C3EBD"/>
    <w:rsid w:val="001C4900"/>
    <w:rsid w:val="001C49B3"/>
    <w:rsid w:val="001C4D94"/>
    <w:rsid w:val="001C4E02"/>
    <w:rsid w:val="001C51D8"/>
    <w:rsid w:val="001C5202"/>
    <w:rsid w:val="001C520D"/>
    <w:rsid w:val="001C53E1"/>
    <w:rsid w:val="001C5B30"/>
    <w:rsid w:val="001C5F1D"/>
    <w:rsid w:val="001C6765"/>
    <w:rsid w:val="001C6C07"/>
    <w:rsid w:val="001C73FB"/>
    <w:rsid w:val="001C776A"/>
    <w:rsid w:val="001C7AA2"/>
    <w:rsid w:val="001D003C"/>
    <w:rsid w:val="001D0777"/>
    <w:rsid w:val="001D07F1"/>
    <w:rsid w:val="001D0D63"/>
    <w:rsid w:val="001D0D6E"/>
    <w:rsid w:val="001D0F5C"/>
    <w:rsid w:val="001D1590"/>
    <w:rsid w:val="001D19F4"/>
    <w:rsid w:val="001D1A20"/>
    <w:rsid w:val="001D1A82"/>
    <w:rsid w:val="001D1DEF"/>
    <w:rsid w:val="001D221A"/>
    <w:rsid w:val="001D225D"/>
    <w:rsid w:val="001D27D7"/>
    <w:rsid w:val="001D2953"/>
    <w:rsid w:val="001D2A84"/>
    <w:rsid w:val="001D2AB3"/>
    <w:rsid w:val="001D2AD5"/>
    <w:rsid w:val="001D2ADA"/>
    <w:rsid w:val="001D2C93"/>
    <w:rsid w:val="001D2DA8"/>
    <w:rsid w:val="001D30E1"/>
    <w:rsid w:val="001D31C7"/>
    <w:rsid w:val="001D32B7"/>
    <w:rsid w:val="001D32FA"/>
    <w:rsid w:val="001D356E"/>
    <w:rsid w:val="001D363E"/>
    <w:rsid w:val="001D3695"/>
    <w:rsid w:val="001D3B6F"/>
    <w:rsid w:val="001D3C05"/>
    <w:rsid w:val="001D3E82"/>
    <w:rsid w:val="001D487C"/>
    <w:rsid w:val="001D4B30"/>
    <w:rsid w:val="001D4D4C"/>
    <w:rsid w:val="001D545A"/>
    <w:rsid w:val="001D54E5"/>
    <w:rsid w:val="001D694F"/>
    <w:rsid w:val="001D6ADC"/>
    <w:rsid w:val="001D6AF4"/>
    <w:rsid w:val="001D790D"/>
    <w:rsid w:val="001D7960"/>
    <w:rsid w:val="001D7CD2"/>
    <w:rsid w:val="001E0BC4"/>
    <w:rsid w:val="001E0CC1"/>
    <w:rsid w:val="001E0FBD"/>
    <w:rsid w:val="001E1753"/>
    <w:rsid w:val="001E1B3F"/>
    <w:rsid w:val="001E1BCA"/>
    <w:rsid w:val="001E1C10"/>
    <w:rsid w:val="001E1F23"/>
    <w:rsid w:val="001E1F8C"/>
    <w:rsid w:val="001E2DAE"/>
    <w:rsid w:val="001E3668"/>
    <w:rsid w:val="001E36A9"/>
    <w:rsid w:val="001E36FB"/>
    <w:rsid w:val="001E3847"/>
    <w:rsid w:val="001E3909"/>
    <w:rsid w:val="001E3CC0"/>
    <w:rsid w:val="001E3F1F"/>
    <w:rsid w:val="001E412E"/>
    <w:rsid w:val="001E4441"/>
    <w:rsid w:val="001E45D4"/>
    <w:rsid w:val="001E46EB"/>
    <w:rsid w:val="001E48F8"/>
    <w:rsid w:val="001E48FF"/>
    <w:rsid w:val="001E4D76"/>
    <w:rsid w:val="001E4F93"/>
    <w:rsid w:val="001E517F"/>
    <w:rsid w:val="001E51E9"/>
    <w:rsid w:val="001E549D"/>
    <w:rsid w:val="001E55F7"/>
    <w:rsid w:val="001E5684"/>
    <w:rsid w:val="001E5D5D"/>
    <w:rsid w:val="001E630C"/>
    <w:rsid w:val="001E654E"/>
    <w:rsid w:val="001E694A"/>
    <w:rsid w:val="001E695F"/>
    <w:rsid w:val="001E6BA3"/>
    <w:rsid w:val="001E6CAB"/>
    <w:rsid w:val="001E6CDD"/>
    <w:rsid w:val="001E6D6F"/>
    <w:rsid w:val="001E6E6B"/>
    <w:rsid w:val="001E73D8"/>
    <w:rsid w:val="001E742E"/>
    <w:rsid w:val="001E7599"/>
    <w:rsid w:val="001E77C3"/>
    <w:rsid w:val="001E7BB3"/>
    <w:rsid w:val="001E7C2B"/>
    <w:rsid w:val="001E7D51"/>
    <w:rsid w:val="001E7D8E"/>
    <w:rsid w:val="001E7EFF"/>
    <w:rsid w:val="001F002B"/>
    <w:rsid w:val="001F00BB"/>
    <w:rsid w:val="001F048A"/>
    <w:rsid w:val="001F0815"/>
    <w:rsid w:val="001F090B"/>
    <w:rsid w:val="001F0A94"/>
    <w:rsid w:val="001F0E83"/>
    <w:rsid w:val="001F0F72"/>
    <w:rsid w:val="001F1671"/>
    <w:rsid w:val="001F180A"/>
    <w:rsid w:val="001F1886"/>
    <w:rsid w:val="001F18ED"/>
    <w:rsid w:val="001F1A28"/>
    <w:rsid w:val="001F1AD0"/>
    <w:rsid w:val="001F1ADA"/>
    <w:rsid w:val="001F212F"/>
    <w:rsid w:val="001F222D"/>
    <w:rsid w:val="001F25A7"/>
    <w:rsid w:val="001F29EE"/>
    <w:rsid w:val="001F2FFB"/>
    <w:rsid w:val="001F3031"/>
    <w:rsid w:val="001F34F1"/>
    <w:rsid w:val="001F35E8"/>
    <w:rsid w:val="001F3BC9"/>
    <w:rsid w:val="001F4014"/>
    <w:rsid w:val="001F42E8"/>
    <w:rsid w:val="001F445E"/>
    <w:rsid w:val="001F4583"/>
    <w:rsid w:val="001F51D3"/>
    <w:rsid w:val="001F51F7"/>
    <w:rsid w:val="001F5592"/>
    <w:rsid w:val="001F5740"/>
    <w:rsid w:val="001F577E"/>
    <w:rsid w:val="001F579D"/>
    <w:rsid w:val="001F5943"/>
    <w:rsid w:val="001F5B62"/>
    <w:rsid w:val="001F602B"/>
    <w:rsid w:val="001F6423"/>
    <w:rsid w:val="001F661B"/>
    <w:rsid w:val="001F66E7"/>
    <w:rsid w:val="001F6945"/>
    <w:rsid w:val="001F6975"/>
    <w:rsid w:val="001F6CDF"/>
    <w:rsid w:val="001F7983"/>
    <w:rsid w:val="001F7BCB"/>
    <w:rsid w:val="0020082D"/>
    <w:rsid w:val="00200848"/>
    <w:rsid w:val="00200DE9"/>
    <w:rsid w:val="00201213"/>
    <w:rsid w:val="00201474"/>
    <w:rsid w:val="0020154D"/>
    <w:rsid w:val="0020165E"/>
    <w:rsid w:val="00201836"/>
    <w:rsid w:val="002018AD"/>
    <w:rsid w:val="00201F3E"/>
    <w:rsid w:val="00201FBF"/>
    <w:rsid w:val="002021E5"/>
    <w:rsid w:val="0020272E"/>
    <w:rsid w:val="00202769"/>
    <w:rsid w:val="00202E50"/>
    <w:rsid w:val="0020365C"/>
    <w:rsid w:val="002036CC"/>
    <w:rsid w:val="002047A5"/>
    <w:rsid w:val="00204814"/>
    <w:rsid w:val="00204956"/>
    <w:rsid w:val="002049E8"/>
    <w:rsid w:val="00204A9C"/>
    <w:rsid w:val="00204AAB"/>
    <w:rsid w:val="00204B84"/>
    <w:rsid w:val="00205180"/>
    <w:rsid w:val="00205203"/>
    <w:rsid w:val="00205571"/>
    <w:rsid w:val="002055BE"/>
    <w:rsid w:val="002057D5"/>
    <w:rsid w:val="00205FEE"/>
    <w:rsid w:val="002061C4"/>
    <w:rsid w:val="00206419"/>
    <w:rsid w:val="00206999"/>
    <w:rsid w:val="002069E0"/>
    <w:rsid w:val="00206B6A"/>
    <w:rsid w:val="00206F78"/>
    <w:rsid w:val="002076F0"/>
    <w:rsid w:val="00207784"/>
    <w:rsid w:val="00207F81"/>
    <w:rsid w:val="0021004F"/>
    <w:rsid w:val="002105D5"/>
    <w:rsid w:val="002107BE"/>
    <w:rsid w:val="002109F4"/>
    <w:rsid w:val="00210BEC"/>
    <w:rsid w:val="00210C60"/>
    <w:rsid w:val="00210FFF"/>
    <w:rsid w:val="00211154"/>
    <w:rsid w:val="002118D6"/>
    <w:rsid w:val="00211974"/>
    <w:rsid w:val="00211C6F"/>
    <w:rsid w:val="00211FC6"/>
    <w:rsid w:val="00211FDA"/>
    <w:rsid w:val="0021224B"/>
    <w:rsid w:val="00212F7F"/>
    <w:rsid w:val="002133C5"/>
    <w:rsid w:val="00213479"/>
    <w:rsid w:val="0021388B"/>
    <w:rsid w:val="00213EB2"/>
    <w:rsid w:val="00214167"/>
    <w:rsid w:val="00214592"/>
    <w:rsid w:val="00214603"/>
    <w:rsid w:val="00215FDA"/>
    <w:rsid w:val="0021604D"/>
    <w:rsid w:val="002160C2"/>
    <w:rsid w:val="00216248"/>
    <w:rsid w:val="00216325"/>
    <w:rsid w:val="0021675A"/>
    <w:rsid w:val="00216892"/>
    <w:rsid w:val="002168C2"/>
    <w:rsid w:val="00216985"/>
    <w:rsid w:val="00216CF8"/>
    <w:rsid w:val="00216D57"/>
    <w:rsid w:val="00216D8F"/>
    <w:rsid w:val="00216F21"/>
    <w:rsid w:val="00216FCF"/>
    <w:rsid w:val="00217092"/>
    <w:rsid w:val="00217422"/>
    <w:rsid w:val="00217526"/>
    <w:rsid w:val="0021755B"/>
    <w:rsid w:val="002175C6"/>
    <w:rsid w:val="0021770F"/>
    <w:rsid w:val="00217780"/>
    <w:rsid w:val="00217F64"/>
    <w:rsid w:val="00220157"/>
    <w:rsid w:val="0022037F"/>
    <w:rsid w:val="00220800"/>
    <w:rsid w:val="0022092C"/>
    <w:rsid w:val="00220C5C"/>
    <w:rsid w:val="00220D3E"/>
    <w:rsid w:val="00222401"/>
    <w:rsid w:val="002226D5"/>
    <w:rsid w:val="00222BB9"/>
    <w:rsid w:val="00222C7A"/>
    <w:rsid w:val="00222FC4"/>
    <w:rsid w:val="0022331B"/>
    <w:rsid w:val="002234DF"/>
    <w:rsid w:val="002238D5"/>
    <w:rsid w:val="00223DC2"/>
    <w:rsid w:val="00224190"/>
    <w:rsid w:val="00224B5D"/>
    <w:rsid w:val="00224C82"/>
    <w:rsid w:val="00224CCA"/>
    <w:rsid w:val="00224CE8"/>
    <w:rsid w:val="00224DA5"/>
    <w:rsid w:val="00224F48"/>
    <w:rsid w:val="00224F8A"/>
    <w:rsid w:val="00225225"/>
    <w:rsid w:val="002256C1"/>
    <w:rsid w:val="0022581E"/>
    <w:rsid w:val="002258D6"/>
    <w:rsid w:val="00226236"/>
    <w:rsid w:val="002268B2"/>
    <w:rsid w:val="002274FB"/>
    <w:rsid w:val="00227960"/>
    <w:rsid w:val="002279A5"/>
    <w:rsid w:val="002279F7"/>
    <w:rsid w:val="00227D67"/>
    <w:rsid w:val="00230287"/>
    <w:rsid w:val="00230490"/>
    <w:rsid w:val="00230752"/>
    <w:rsid w:val="002309D2"/>
    <w:rsid w:val="00231071"/>
    <w:rsid w:val="002313DE"/>
    <w:rsid w:val="0023162B"/>
    <w:rsid w:val="0023189D"/>
    <w:rsid w:val="00231B61"/>
    <w:rsid w:val="00231B7D"/>
    <w:rsid w:val="0023240C"/>
    <w:rsid w:val="00232574"/>
    <w:rsid w:val="00232950"/>
    <w:rsid w:val="00233149"/>
    <w:rsid w:val="0023315B"/>
    <w:rsid w:val="00233F39"/>
    <w:rsid w:val="00233F88"/>
    <w:rsid w:val="00233FAF"/>
    <w:rsid w:val="002343BC"/>
    <w:rsid w:val="002347FE"/>
    <w:rsid w:val="00234F6E"/>
    <w:rsid w:val="00235107"/>
    <w:rsid w:val="0023579E"/>
    <w:rsid w:val="00235D85"/>
    <w:rsid w:val="00235F9F"/>
    <w:rsid w:val="002360D3"/>
    <w:rsid w:val="002365FE"/>
    <w:rsid w:val="00236A97"/>
    <w:rsid w:val="00236B27"/>
    <w:rsid w:val="00237672"/>
    <w:rsid w:val="0023792C"/>
    <w:rsid w:val="00237B70"/>
    <w:rsid w:val="00237DF2"/>
    <w:rsid w:val="00240E31"/>
    <w:rsid w:val="00240F77"/>
    <w:rsid w:val="002413A0"/>
    <w:rsid w:val="00241452"/>
    <w:rsid w:val="00241775"/>
    <w:rsid w:val="0024178D"/>
    <w:rsid w:val="00241830"/>
    <w:rsid w:val="00241FCC"/>
    <w:rsid w:val="0024248B"/>
    <w:rsid w:val="00242B6C"/>
    <w:rsid w:val="00242DA8"/>
    <w:rsid w:val="00242F9B"/>
    <w:rsid w:val="00243275"/>
    <w:rsid w:val="0024392B"/>
    <w:rsid w:val="00243CA7"/>
    <w:rsid w:val="00243DEB"/>
    <w:rsid w:val="002440C7"/>
    <w:rsid w:val="002450C6"/>
    <w:rsid w:val="00245A6F"/>
    <w:rsid w:val="00245AF2"/>
    <w:rsid w:val="00245C2C"/>
    <w:rsid w:val="00245DCF"/>
    <w:rsid w:val="0024619E"/>
    <w:rsid w:val="00246415"/>
    <w:rsid w:val="0024689D"/>
    <w:rsid w:val="00246C65"/>
    <w:rsid w:val="00246EF4"/>
    <w:rsid w:val="0024721F"/>
    <w:rsid w:val="00247E08"/>
    <w:rsid w:val="00250004"/>
    <w:rsid w:val="002505A0"/>
    <w:rsid w:val="00250CA3"/>
    <w:rsid w:val="00250F19"/>
    <w:rsid w:val="002510A5"/>
    <w:rsid w:val="002512DB"/>
    <w:rsid w:val="002514B2"/>
    <w:rsid w:val="002514E7"/>
    <w:rsid w:val="00251604"/>
    <w:rsid w:val="00251715"/>
    <w:rsid w:val="00251A10"/>
    <w:rsid w:val="00251A4A"/>
    <w:rsid w:val="00251EA7"/>
    <w:rsid w:val="002526B9"/>
    <w:rsid w:val="00252ABF"/>
    <w:rsid w:val="00252BFF"/>
    <w:rsid w:val="002530B9"/>
    <w:rsid w:val="0025349D"/>
    <w:rsid w:val="00253537"/>
    <w:rsid w:val="00253732"/>
    <w:rsid w:val="00253AD4"/>
    <w:rsid w:val="00253BB1"/>
    <w:rsid w:val="00253C25"/>
    <w:rsid w:val="00254083"/>
    <w:rsid w:val="002542A8"/>
    <w:rsid w:val="0025539D"/>
    <w:rsid w:val="002554E4"/>
    <w:rsid w:val="0025573A"/>
    <w:rsid w:val="002557C1"/>
    <w:rsid w:val="002558BB"/>
    <w:rsid w:val="00255BB1"/>
    <w:rsid w:val="0025603B"/>
    <w:rsid w:val="002562E0"/>
    <w:rsid w:val="002572AC"/>
    <w:rsid w:val="00257959"/>
    <w:rsid w:val="00257B72"/>
    <w:rsid w:val="00257E54"/>
    <w:rsid w:val="00260A11"/>
    <w:rsid w:val="00260F88"/>
    <w:rsid w:val="0026169A"/>
    <w:rsid w:val="00261742"/>
    <w:rsid w:val="002617AA"/>
    <w:rsid w:val="00261DBE"/>
    <w:rsid w:val="00261E13"/>
    <w:rsid w:val="00261FC9"/>
    <w:rsid w:val="00262763"/>
    <w:rsid w:val="00262964"/>
    <w:rsid w:val="00262A46"/>
    <w:rsid w:val="00262AC1"/>
    <w:rsid w:val="00262B05"/>
    <w:rsid w:val="00262FE5"/>
    <w:rsid w:val="00263099"/>
    <w:rsid w:val="00263194"/>
    <w:rsid w:val="00263225"/>
    <w:rsid w:val="0026357E"/>
    <w:rsid w:val="00263624"/>
    <w:rsid w:val="0026399C"/>
    <w:rsid w:val="00263A4B"/>
    <w:rsid w:val="002645E1"/>
    <w:rsid w:val="002646BA"/>
    <w:rsid w:val="00264978"/>
    <w:rsid w:val="00264BEA"/>
    <w:rsid w:val="00264DC2"/>
    <w:rsid w:val="00264E90"/>
    <w:rsid w:val="00265083"/>
    <w:rsid w:val="002655E9"/>
    <w:rsid w:val="00265C61"/>
    <w:rsid w:val="00265C78"/>
    <w:rsid w:val="00265F9F"/>
    <w:rsid w:val="00266157"/>
    <w:rsid w:val="0026616B"/>
    <w:rsid w:val="002665AF"/>
    <w:rsid w:val="00267850"/>
    <w:rsid w:val="00267918"/>
    <w:rsid w:val="00267B7B"/>
    <w:rsid w:val="00267CD1"/>
    <w:rsid w:val="0027058D"/>
    <w:rsid w:val="00270AEE"/>
    <w:rsid w:val="00271032"/>
    <w:rsid w:val="002710D8"/>
    <w:rsid w:val="002710DA"/>
    <w:rsid w:val="002712B5"/>
    <w:rsid w:val="00271F02"/>
    <w:rsid w:val="00271F48"/>
    <w:rsid w:val="0027206B"/>
    <w:rsid w:val="00272461"/>
    <w:rsid w:val="00272528"/>
    <w:rsid w:val="0027259B"/>
    <w:rsid w:val="00272BF8"/>
    <w:rsid w:val="00272CC2"/>
    <w:rsid w:val="00272D6A"/>
    <w:rsid w:val="00272E6D"/>
    <w:rsid w:val="00272EF8"/>
    <w:rsid w:val="00273A3B"/>
    <w:rsid w:val="00273BBE"/>
    <w:rsid w:val="00273D0B"/>
    <w:rsid w:val="00273E3E"/>
    <w:rsid w:val="00274147"/>
    <w:rsid w:val="0027426F"/>
    <w:rsid w:val="00275189"/>
    <w:rsid w:val="0027534B"/>
    <w:rsid w:val="002756DC"/>
    <w:rsid w:val="00275855"/>
    <w:rsid w:val="00276412"/>
    <w:rsid w:val="00276437"/>
    <w:rsid w:val="002769FB"/>
    <w:rsid w:val="00276B36"/>
    <w:rsid w:val="00277064"/>
    <w:rsid w:val="002772AB"/>
    <w:rsid w:val="0027744D"/>
    <w:rsid w:val="00280053"/>
    <w:rsid w:val="002801FF"/>
    <w:rsid w:val="0028039F"/>
    <w:rsid w:val="0028063F"/>
    <w:rsid w:val="00280698"/>
    <w:rsid w:val="002806D3"/>
    <w:rsid w:val="00280740"/>
    <w:rsid w:val="00280F9E"/>
    <w:rsid w:val="002813B7"/>
    <w:rsid w:val="00281409"/>
    <w:rsid w:val="002824CB"/>
    <w:rsid w:val="00282C0C"/>
    <w:rsid w:val="00282EA1"/>
    <w:rsid w:val="00282EBB"/>
    <w:rsid w:val="0028354D"/>
    <w:rsid w:val="00283654"/>
    <w:rsid w:val="002838B5"/>
    <w:rsid w:val="00283A37"/>
    <w:rsid w:val="00283B02"/>
    <w:rsid w:val="00283C5D"/>
    <w:rsid w:val="00283C91"/>
    <w:rsid w:val="0028423C"/>
    <w:rsid w:val="002843F7"/>
    <w:rsid w:val="002844B0"/>
    <w:rsid w:val="002856A5"/>
    <w:rsid w:val="002857AB"/>
    <w:rsid w:val="00285891"/>
    <w:rsid w:val="002859AB"/>
    <w:rsid w:val="00285BCE"/>
    <w:rsid w:val="00285C65"/>
    <w:rsid w:val="00285EEA"/>
    <w:rsid w:val="00286322"/>
    <w:rsid w:val="0028661B"/>
    <w:rsid w:val="002866EA"/>
    <w:rsid w:val="002868D1"/>
    <w:rsid w:val="00286A56"/>
    <w:rsid w:val="00286D8D"/>
    <w:rsid w:val="00286E94"/>
    <w:rsid w:val="00286F44"/>
    <w:rsid w:val="00287453"/>
    <w:rsid w:val="002874E5"/>
    <w:rsid w:val="00287588"/>
    <w:rsid w:val="00287911"/>
    <w:rsid w:val="00287B27"/>
    <w:rsid w:val="00287C0B"/>
    <w:rsid w:val="00287EF8"/>
    <w:rsid w:val="0029054C"/>
    <w:rsid w:val="002906B1"/>
    <w:rsid w:val="00290902"/>
    <w:rsid w:val="002909E5"/>
    <w:rsid w:val="002915E7"/>
    <w:rsid w:val="0029181E"/>
    <w:rsid w:val="00291AD4"/>
    <w:rsid w:val="0029248E"/>
    <w:rsid w:val="00292549"/>
    <w:rsid w:val="00292D14"/>
    <w:rsid w:val="00293B84"/>
    <w:rsid w:val="00294154"/>
    <w:rsid w:val="00294F49"/>
    <w:rsid w:val="002951B0"/>
    <w:rsid w:val="00295654"/>
    <w:rsid w:val="002957A2"/>
    <w:rsid w:val="00295B08"/>
    <w:rsid w:val="002962CB"/>
    <w:rsid w:val="002963BA"/>
    <w:rsid w:val="002966D0"/>
    <w:rsid w:val="002969BC"/>
    <w:rsid w:val="00296A84"/>
    <w:rsid w:val="00296B03"/>
    <w:rsid w:val="00296C1F"/>
    <w:rsid w:val="00296DEE"/>
    <w:rsid w:val="00296F60"/>
    <w:rsid w:val="002971C5"/>
    <w:rsid w:val="00297333"/>
    <w:rsid w:val="00297679"/>
    <w:rsid w:val="002A03DB"/>
    <w:rsid w:val="002A04FF"/>
    <w:rsid w:val="002A0597"/>
    <w:rsid w:val="002A063F"/>
    <w:rsid w:val="002A0838"/>
    <w:rsid w:val="002A09E3"/>
    <w:rsid w:val="002A0A97"/>
    <w:rsid w:val="002A102C"/>
    <w:rsid w:val="002A1883"/>
    <w:rsid w:val="002A1A64"/>
    <w:rsid w:val="002A1A82"/>
    <w:rsid w:val="002A233C"/>
    <w:rsid w:val="002A233E"/>
    <w:rsid w:val="002A2379"/>
    <w:rsid w:val="002A2A81"/>
    <w:rsid w:val="002A2C2C"/>
    <w:rsid w:val="002A2C3D"/>
    <w:rsid w:val="002A30F2"/>
    <w:rsid w:val="002A3636"/>
    <w:rsid w:val="002A3986"/>
    <w:rsid w:val="002A3B2B"/>
    <w:rsid w:val="002A403C"/>
    <w:rsid w:val="002A41E6"/>
    <w:rsid w:val="002A44C8"/>
    <w:rsid w:val="002A46A5"/>
    <w:rsid w:val="002A4F8E"/>
    <w:rsid w:val="002A51B9"/>
    <w:rsid w:val="002A52D7"/>
    <w:rsid w:val="002A545A"/>
    <w:rsid w:val="002A5E48"/>
    <w:rsid w:val="002A5FC4"/>
    <w:rsid w:val="002A6206"/>
    <w:rsid w:val="002A6573"/>
    <w:rsid w:val="002A67DC"/>
    <w:rsid w:val="002A6E67"/>
    <w:rsid w:val="002A74B2"/>
    <w:rsid w:val="002A76A2"/>
    <w:rsid w:val="002A78D2"/>
    <w:rsid w:val="002A7B65"/>
    <w:rsid w:val="002B0059"/>
    <w:rsid w:val="002B01F5"/>
    <w:rsid w:val="002B0455"/>
    <w:rsid w:val="002B078E"/>
    <w:rsid w:val="002B0915"/>
    <w:rsid w:val="002B0F27"/>
    <w:rsid w:val="002B1ACB"/>
    <w:rsid w:val="002B2048"/>
    <w:rsid w:val="002B261C"/>
    <w:rsid w:val="002B2742"/>
    <w:rsid w:val="002B28D5"/>
    <w:rsid w:val="002B2ACB"/>
    <w:rsid w:val="002B2AD2"/>
    <w:rsid w:val="002B2BEE"/>
    <w:rsid w:val="002B2D7B"/>
    <w:rsid w:val="002B2F2B"/>
    <w:rsid w:val="002B35C5"/>
    <w:rsid w:val="002B3869"/>
    <w:rsid w:val="002B3935"/>
    <w:rsid w:val="002B3F2B"/>
    <w:rsid w:val="002B406A"/>
    <w:rsid w:val="002B41D4"/>
    <w:rsid w:val="002B453C"/>
    <w:rsid w:val="002B4865"/>
    <w:rsid w:val="002B4CB8"/>
    <w:rsid w:val="002B4CC0"/>
    <w:rsid w:val="002B4F03"/>
    <w:rsid w:val="002B5303"/>
    <w:rsid w:val="002B5330"/>
    <w:rsid w:val="002B535A"/>
    <w:rsid w:val="002B543F"/>
    <w:rsid w:val="002B574D"/>
    <w:rsid w:val="002B57C0"/>
    <w:rsid w:val="002B5C53"/>
    <w:rsid w:val="002B6165"/>
    <w:rsid w:val="002B64AB"/>
    <w:rsid w:val="002B663D"/>
    <w:rsid w:val="002B6B72"/>
    <w:rsid w:val="002B6BC4"/>
    <w:rsid w:val="002B6C43"/>
    <w:rsid w:val="002B6F63"/>
    <w:rsid w:val="002B73F4"/>
    <w:rsid w:val="002B769F"/>
    <w:rsid w:val="002B7A54"/>
    <w:rsid w:val="002B7B28"/>
    <w:rsid w:val="002B7D73"/>
    <w:rsid w:val="002B7F2A"/>
    <w:rsid w:val="002C0372"/>
    <w:rsid w:val="002C053F"/>
    <w:rsid w:val="002C06E3"/>
    <w:rsid w:val="002C0801"/>
    <w:rsid w:val="002C0813"/>
    <w:rsid w:val="002C0C7A"/>
    <w:rsid w:val="002C0CC4"/>
    <w:rsid w:val="002C12AE"/>
    <w:rsid w:val="002C145F"/>
    <w:rsid w:val="002C19D6"/>
    <w:rsid w:val="002C1A52"/>
    <w:rsid w:val="002C1AAE"/>
    <w:rsid w:val="002C206A"/>
    <w:rsid w:val="002C211A"/>
    <w:rsid w:val="002C2351"/>
    <w:rsid w:val="002C2775"/>
    <w:rsid w:val="002C2A7C"/>
    <w:rsid w:val="002C2B75"/>
    <w:rsid w:val="002C2E16"/>
    <w:rsid w:val="002C33B3"/>
    <w:rsid w:val="002C3584"/>
    <w:rsid w:val="002C41A3"/>
    <w:rsid w:val="002C4381"/>
    <w:rsid w:val="002C44B0"/>
    <w:rsid w:val="002C44B6"/>
    <w:rsid w:val="002C4A88"/>
    <w:rsid w:val="002C4BC5"/>
    <w:rsid w:val="002C4D75"/>
    <w:rsid w:val="002C4E07"/>
    <w:rsid w:val="002C51DD"/>
    <w:rsid w:val="002C5926"/>
    <w:rsid w:val="002C598E"/>
    <w:rsid w:val="002C5A88"/>
    <w:rsid w:val="002C5D73"/>
    <w:rsid w:val="002C6614"/>
    <w:rsid w:val="002C66A4"/>
    <w:rsid w:val="002C670B"/>
    <w:rsid w:val="002C6F56"/>
    <w:rsid w:val="002C6FD2"/>
    <w:rsid w:val="002C73E8"/>
    <w:rsid w:val="002C778F"/>
    <w:rsid w:val="002C7791"/>
    <w:rsid w:val="002C7A96"/>
    <w:rsid w:val="002D039B"/>
    <w:rsid w:val="002D0586"/>
    <w:rsid w:val="002D09C2"/>
    <w:rsid w:val="002D0EDE"/>
    <w:rsid w:val="002D0F54"/>
    <w:rsid w:val="002D0FE9"/>
    <w:rsid w:val="002D1023"/>
    <w:rsid w:val="002D119E"/>
    <w:rsid w:val="002D11CA"/>
    <w:rsid w:val="002D1459"/>
    <w:rsid w:val="002D1470"/>
    <w:rsid w:val="002D1DEA"/>
    <w:rsid w:val="002D21CF"/>
    <w:rsid w:val="002D2361"/>
    <w:rsid w:val="002D25CE"/>
    <w:rsid w:val="002D2AB9"/>
    <w:rsid w:val="002D2C07"/>
    <w:rsid w:val="002D2CAC"/>
    <w:rsid w:val="002D31DB"/>
    <w:rsid w:val="002D33F4"/>
    <w:rsid w:val="002D34C2"/>
    <w:rsid w:val="002D383B"/>
    <w:rsid w:val="002D3DB7"/>
    <w:rsid w:val="002D4023"/>
    <w:rsid w:val="002D436B"/>
    <w:rsid w:val="002D4705"/>
    <w:rsid w:val="002D479F"/>
    <w:rsid w:val="002D4F8B"/>
    <w:rsid w:val="002D55FE"/>
    <w:rsid w:val="002D56E4"/>
    <w:rsid w:val="002D57BF"/>
    <w:rsid w:val="002D5815"/>
    <w:rsid w:val="002D5B65"/>
    <w:rsid w:val="002D60DE"/>
    <w:rsid w:val="002D6396"/>
    <w:rsid w:val="002D6C73"/>
    <w:rsid w:val="002D6EC2"/>
    <w:rsid w:val="002D6EEE"/>
    <w:rsid w:val="002D7950"/>
    <w:rsid w:val="002D7E5E"/>
    <w:rsid w:val="002D7E8E"/>
    <w:rsid w:val="002E07BA"/>
    <w:rsid w:val="002E07EF"/>
    <w:rsid w:val="002E0D06"/>
    <w:rsid w:val="002E12DB"/>
    <w:rsid w:val="002E1810"/>
    <w:rsid w:val="002E1A3A"/>
    <w:rsid w:val="002E254A"/>
    <w:rsid w:val="002E25A9"/>
    <w:rsid w:val="002E292B"/>
    <w:rsid w:val="002E30A9"/>
    <w:rsid w:val="002E3467"/>
    <w:rsid w:val="002E42B8"/>
    <w:rsid w:val="002E4518"/>
    <w:rsid w:val="002E47BA"/>
    <w:rsid w:val="002E49E7"/>
    <w:rsid w:val="002E4B07"/>
    <w:rsid w:val="002E4BD2"/>
    <w:rsid w:val="002E4E94"/>
    <w:rsid w:val="002E55F4"/>
    <w:rsid w:val="002E5AC4"/>
    <w:rsid w:val="002E5CE0"/>
    <w:rsid w:val="002E5FA4"/>
    <w:rsid w:val="002E607D"/>
    <w:rsid w:val="002E61CC"/>
    <w:rsid w:val="002E62B4"/>
    <w:rsid w:val="002E654E"/>
    <w:rsid w:val="002E66CC"/>
    <w:rsid w:val="002E6932"/>
    <w:rsid w:val="002E6AE8"/>
    <w:rsid w:val="002E6BF7"/>
    <w:rsid w:val="002E75D8"/>
    <w:rsid w:val="002E76E7"/>
    <w:rsid w:val="002F0557"/>
    <w:rsid w:val="002F075E"/>
    <w:rsid w:val="002F0818"/>
    <w:rsid w:val="002F0922"/>
    <w:rsid w:val="002F1021"/>
    <w:rsid w:val="002F179D"/>
    <w:rsid w:val="002F1B6B"/>
    <w:rsid w:val="002F1C2E"/>
    <w:rsid w:val="002F1C4B"/>
    <w:rsid w:val="002F1E9F"/>
    <w:rsid w:val="002F1F28"/>
    <w:rsid w:val="002F239E"/>
    <w:rsid w:val="002F24F2"/>
    <w:rsid w:val="002F262A"/>
    <w:rsid w:val="002F287A"/>
    <w:rsid w:val="002F2DBA"/>
    <w:rsid w:val="002F2E6F"/>
    <w:rsid w:val="002F2FDC"/>
    <w:rsid w:val="002F35F6"/>
    <w:rsid w:val="002F365E"/>
    <w:rsid w:val="002F3878"/>
    <w:rsid w:val="002F38AA"/>
    <w:rsid w:val="002F3961"/>
    <w:rsid w:val="002F3A98"/>
    <w:rsid w:val="002F3C38"/>
    <w:rsid w:val="002F43CA"/>
    <w:rsid w:val="002F4495"/>
    <w:rsid w:val="002F47A5"/>
    <w:rsid w:val="002F4CF6"/>
    <w:rsid w:val="002F565F"/>
    <w:rsid w:val="002F57AA"/>
    <w:rsid w:val="002F5815"/>
    <w:rsid w:val="002F5C02"/>
    <w:rsid w:val="002F5E0D"/>
    <w:rsid w:val="002F5FEC"/>
    <w:rsid w:val="002F6EF7"/>
    <w:rsid w:val="002F700F"/>
    <w:rsid w:val="002F714B"/>
    <w:rsid w:val="002F714C"/>
    <w:rsid w:val="002F7680"/>
    <w:rsid w:val="002F77BF"/>
    <w:rsid w:val="002F7D4B"/>
    <w:rsid w:val="0030033B"/>
    <w:rsid w:val="00300492"/>
    <w:rsid w:val="003004A2"/>
    <w:rsid w:val="00300610"/>
    <w:rsid w:val="00301237"/>
    <w:rsid w:val="00301701"/>
    <w:rsid w:val="0030177E"/>
    <w:rsid w:val="00301B55"/>
    <w:rsid w:val="00301BE1"/>
    <w:rsid w:val="00301C6D"/>
    <w:rsid w:val="00301FFA"/>
    <w:rsid w:val="00302726"/>
    <w:rsid w:val="003033CE"/>
    <w:rsid w:val="00303AD5"/>
    <w:rsid w:val="00303DD5"/>
    <w:rsid w:val="00303E07"/>
    <w:rsid w:val="003044D7"/>
    <w:rsid w:val="00304641"/>
    <w:rsid w:val="00304780"/>
    <w:rsid w:val="00304C5E"/>
    <w:rsid w:val="003054C0"/>
    <w:rsid w:val="00305566"/>
    <w:rsid w:val="003056F0"/>
    <w:rsid w:val="00305F84"/>
    <w:rsid w:val="00306208"/>
    <w:rsid w:val="00306268"/>
    <w:rsid w:val="00306552"/>
    <w:rsid w:val="00306675"/>
    <w:rsid w:val="00306AD1"/>
    <w:rsid w:val="003076DF"/>
    <w:rsid w:val="00307B74"/>
    <w:rsid w:val="0031008F"/>
    <w:rsid w:val="003101D1"/>
    <w:rsid w:val="00310235"/>
    <w:rsid w:val="00310379"/>
    <w:rsid w:val="00310410"/>
    <w:rsid w:val="00310764"/>
    <w:rsid w:val="00310C2C"/>
    <w:rsid w:val="0031193B"/>
    <w:rsid w:val="00311BFD"/>
    <w:rsid w:val="00311E34"/>
    <w:rsid w:val="0031233E"/>
    <w:rsid w:val="003123ED"/>
    <w:rsid w:val="003125B8"/>
    <w:rsid w:val="00312C04"/>
    <w:rsid w:val="003133B0"/>
    <w:rsid w:val="00313A3F"/>
    <w:rsid w:val="00313C92"/>
    <w:rsid w:val="00313DDE"/>
    <w:rsid w:val="0031414F"/>
    <w:rsid w:val="00314379"/>
    <w:rsid w:val="003144D1"/>
    <w:rsid w:val="00314718"/>
    <w:rsid w:val="0031488A"/>
    <w:rsid w:val="00314D0F"/>
    <w:rsid w:val="00314D29"/>
    <w:rsid w:val="00314D53"/>
    <w:rsid w:val="003150DE"/>
    <w:rsid w:val="00315496"/>
    <w:rsid w:val="0031558A"/>
    <w:rsid w:val="0031570C"/>
    <w:rsid w:val="003159CB"/>
    <w:rsid w:val="00315A41"/>
    <w:rsid w:val="00315AEA"/>
    <w:rsid w:val="00315B57"/>
    <w:rsid w:val="00315B82"/>
    <w:rsid w:val="00315C71"/>
    <w:rsid w:val="00315C9D"/>
    <w:rsid w:val="00315DB7"/>
    <w:rsid w:val="00316E2F"/>
    <w:rsid w:val="003175E1"/>
    <w:rsid w:val="003175EB"/>
    <w:rsid w:val="00317E57"/>
    <w:rsid w:val="00320203"/>
    <w:rsid w:val="003203D9"/>
    <w:rsid w:val="00320B25"/>
    <w:rsid w:val="003218A0"/>
    <w:rsid w:val="00321E1C"/>
    <w:rsid w:val="00321F86"/>
    <w:rsid w:val="00322002"/>
    <w:rsid w:val="0032202D"/>
    <w:rsid w:val="00322331"/>
    <w:rsid w:val="003227DF"/>
    <w:rsid w:val="00322B77"/>
    <w:rsid w:val="00322CA5"/>
    <w:rsid w:val="0032305A"/>
    <w:rsid w:val="00323487"/>
    <w:rsid w:val="003237D5"/>
    <w:rsid w:val="00323A3D"/>
    <w:rsid w:val="0032404D"/>
    <w:rsid w:val="00324101"/>
    <w:rsid w:val="00324549"/>
    <w:rsid w:val="003247B0"/>
    <w:rsid w:val="003250E7"/>
    <w:rsid w:val="0032581B"/>
    <w:rsid w:val="00325E81"/>
    <w:rsid w:val="00326948"/>
    <w:rsid w:val="00327052"/>
    <w:rsid w:val="00327077"/>
    <w:rsid w:val="00327325"/>
    <w:rsid w:val="00327556"/>
    <w:rsid w:val="00327CC7"/>
    <w:rsid w:val="003302F3"/>
    <w:rsid w:val="00330481"/>
    <w:rsid w:val="00330762"/>
    <w:rsid w:val="003307CA"/>
    <w:rsid w:val="00330C48"/>
    <w:rsid w:val="00330F8A"/>
    <w:rsid w:val="003313FA"/>
    <w:rsid w:val="00331CCF"/>
    <w:rsid w:val="003324D6"/>
    <w:rsid w:val="00332589"/>
    <w:rsid w:val="003328AF"/>
    <w:rsid w:val="0033298D"/>
    <w:rsid w:val="00332E76"/>
    <w:rsid w:val="003330BA"/>
    <w:rsid w:val="003339B3"/>
    <w:rsid w:val="00333EB2"/>
    <w:rsid w:val="0033438D"/>
    <w:rsid w:val="00334744"/>
    <w:rsid w:val="0033486D"/>
    <w:rsid w:val="00334AA3"/>
    <w:rsid w:val="00334AE7"/>
    <w:rsid w:val="00334E26"/>
    <w:rsid w:val="0033514C"/>
    <w:rsid w:val="00335204"/>
    <w:rsid w:val="00335225"/>
    <w:rsid w:val="00335228"/>
    <w:rsid w:val="003352A5"/>
    <w:rsid w:val="00335A31"/>
    <w:rsid w:val="003366B7"/>
    <w:rsid w:val="003367C4"/>
    <w:rsid w:val="00336D8E"/>
    <w:rsid w:val="00336E26"/>
    <w:rsid w:val="00336FA6"/>
    <w:rsid w:val="003373CE"/>
    <w:rsid w:val="0033768B"/>
    <w:rsid w:val="003376B3"/>
    <w:rsid w:val="00337B9D"/>
    <w:rsid w:val="00337CFE"/>
    <w:rsid w:val="0034000A"/>
    <w:rsid w:val="00340D33"/>
    <w:rsid w:val="0034109B"/>
    <w:rsid w:val="003410AF"/>
    <w:rsid w:val="00341760"/>
    <w:rsid w:val="0034197E"/>
    <w:rsid w:val="00341C97"/>
    <w:rsid w:val="00341D89"/>
    <w:rsid w:val="00342399"/>
    <w:rsid w:val="00342468"/>
    <w:rsid w:val="00342DBA"/>
    <w:rsid w:val="003449B3"/>
    <w:rsid w:val="00344C38"/>
    <w:rsid w:val="00344D58"/>
    <w:rsid w:val="0034511B"/>
    <w:rsid w:val="0034512B"/>
    <w:rsid w:val="003458BF"/>
    <w:rsid w:val="003458E0"/>
    <w:rsid w:val="00345B1D"/>
    <w:rsid w:val="00345EA7"/>
    <w:rsid w:val="00345F79"/>
    <w:rsid w:val="00345F9C"/>
    <w:rsid w:val="003462E0"/>
    <w:rsid w:val="00346349"/>
    <w:rsid w:val="00346A48"/>
    <w:rsid w:val="00346A64"/>
    <w:rsid w:val="00347776"/>
    <w:rsid w:val="00347837"/>
    <w:rsid w:val="00347858"/>
    <w:rsid w:val="00347F3D"/>
    <w:rsid w:val="0035026B"/>
    <w:rsid w:val="00350427"/>
    <w:rsid w:val="003506B0"/>
    <w:rsid w:val="003508EC"/>
    <w:rsid w:val="00350D1E"/>
    <w:rsid w:val="0035102C"/>
    <w:rsid w:val="00351114"/>
    <w:rsid w:val="0035117A"/>
    <w:rsid w:val="00351322"/>
    <w:rsid w:val="003514C4"/>
    <w:rsid w:val="00351845"/>
    <w:rsid w:val="00351A91"/>
    <w:rsid w:val="00351AE9"/>
    <w:rsid w:val="003520C4"/>
    <w:rsid w:val="003520F3"/>
    <w:rsid w:val="00352114"/>
    <w:rsid w:val="003521EE"/>
    <w:rsid w:val="00352215"/>
    <w:rsid w:val="0035247B"/>
    <w:rsid w:val="00352D29"/>
    <w:rsid w:val="00352E59"/>
    <w:rsid w:val="0035322A"/>
    <w:rsid w:val="00353284"/>
    <w:rsid w:val="003532A5"/>
    <w:rsid w:val="003533AE"/>
    <w:rsid w:val="00354160"/>
    <w:rsid w:val="00355178"/>
    <w:rsid w:val="00355668"/>
    <w:rsid w:val="00355848"/>
    <w:rsid w:val="003558CE"/>
    <w:rsid w:val="00355B8C"/>
    <w:rsid w:val="00355E14"/>
    <w:rsid w:val="00355FF2"/>
    <w:rsid w:val="003564F3"/>
    <w:rsid w:val="003565B1"/>
    <w:rsid w:val="00356653"/>
    <w:rsid w:val="0035686C"/>
    <w:rsid w:val="003573C2"/>
    <w:rsid w:val="003574AE"/>
    <w:rsid w:val="00357889"/>
    <w:rsid w:val="003579A8"/>
    <w:rsid w:val="00357C5E"/>
    <w:rsid w:val="00357EA5"/>
    <w:rsid w:val="003604DD"/>
    <w:rsid w:val="00360789"/>
    <w:rsid w:val="003608BD"/>
    <w:rsid w:val="00360C2E"/>
    <w:rsid w:val="00360F33"/>
    <w:rsid w:val="00361280"/>
    <w:rsid w:val="003612B9"/>
    <w:rsid w:val="003615F1"/>
    <w:rsid w:val="00361771"/>
    <w:rsid w:val="00361A6E"/>
    <w:rsid w:val="00361D16"/>
    <w:rsid w:val="003626AF"/>
    <w:rsid w:val="003626BB"/>
    <w:rsid w:val="00362EC1"/>
    <w:rsid w:val="0036305F"/>
    <w:rsid w:val="0036324B"/>
    <w:rsid w:val="00363293"/>
    <w:rsid w:val="003632D2"/>
    <w:rsid w:val="0036342F"/>
    <w:rsid w:val="003638BF"/>
    <w:rsid w:val="00363B3B"/>
    <w:rsid w:val="00363B55"/>
    <w:rsid w:val="00363C44"/>
    <w:rsid w:val="00363CDA"/>
    <w:rsid w:val="00363D7F"/>
    <w:rsid w:val="00364213"/>
    <w:rsid w:val="0036433E"/>
    <w:rsid w:val="003645E9"/>
    <w:rsid w:val="0036481F"/>
    <w:rsid w:val="0036503A"/>
    <w:rsid w:val="003650EE"/>
    <w:rsid w:val="003660DD"/>
    <w:rsid w:val="0036655E"/>
    <w:rsid w:val="00366B18"/>
    <w:rsid w:val="00366D39"/>
    <w:rsid w:val="00366D88"/>
    <w:rsid w:val="00367029"/>
    <w:rsid w:val="0036716C"/>
    <w:rsid w:val="003673F5"/>
    <w:rsid w:val="00367609"/>
    <w:rsid w:val="003676C1"/>
    <w:rsid w:val="00367C66"/>
    <w:rsid w:val="00367CCD"/>
    <w:rsid w:val="00367DFD"/>
    <w:rsid w:val="003700B2"/>
    <w:rsid w:val="003700C5"/>
    <w:rsid w:val="00370210"/>
    <w:rsid w:val="0037050C"/>
    <w:rsid w:val="0037061B"/>
    <w:rsid w:val="00370A9F"/>
    <w:rsid w:val="00370ED2"/>
    <w:rsid w:val="00371253"/>
    <w:rsid w:val="00371856"/>
    <w:rsid w:val="00371D8F"/>
    <w:rsid w:val="00371EAA"/>
    <w:rsid w:val="00371F40"/>
    <w:rsid w:val="0037233D"/>
    <w:rsid w:val="0037295E"/>
    <w:rsid w:val="00372CD4"/>
    <w:rsid w:val="00372EA3"/>
    <w:rsid w:val="0037358C"/>
    <w:rsid w:val="003736EF"/>
    <w:rsid w:val="003737E3"/>
    <w:rsid w:val="00373983"/>
    <w:rsid w:val="00373C4E"/>
    <w:rsid w:val="00373D43"/>
    <w:rsid w:val="00373F89"/>
    <w:rsid w:val="003740DD"/>
    <w:rsid w:val="0037414A"/>
    <w:rsid w:val="00374D5C"/>
    <w:rsid w:val="00374F5B"/>
    <w:rsid w:val="00374F97"/>
    <w:rsid w:val="0037517C"/>
    <w:rsid w:val="00375293"/>
    <w:rsid w:val="00375326"/>
    <w:rsid w:val="00375381"/>
    <w:rsid w:val="0037546C"/>
    <w:rsid w:val="00375593"/>
    <w:rsid w:val="003757F4"/>
    <w:rsid w:val="00375A57"/>
    <w:rsid w:val="00375A6D"/>
    <w:rsid w:val="00375DF8"/>
    <w:rsid w:val="00375F4A"/>
    <w:rsid w:val="003761F4"/>
    <w:rsid w:val="00376273"/>
    <w:rsid w:val="003763CE"/>
    <w:rsid w:val="00376938"/>
    <w:rsid w:val="00376DE2"/>
    <w:rsid w:val="00377490"/>
    <w:rsid w:val="0037771E"/>
    <w:rsid w:val="0037787D"/>
    <w:rsid w:val="003778B8"/>
    <w:rsid w:val="003779ED"/>
    <w:rsid w:val="00377ADF"/>
    <w:rsid w:val="00377FB2"/>
    <w:rsid w:val="0038018C"/>
    <w:rsid w:val="0038035A"/>
    <w:rsid w:val="00380446"/>
    <w:rsid w:val="00380458"/>
    <w:rsid w:val="003804DF"/>
    <w:rsid w:val="003805FC"/>
    <w:rsid w:val="00380608"/>
    <w:rsid w:val="003808D1"/>
    <w:rsid w:val="00380940"/>
    <w:rsid w:val="00380A1A"/>
    <w:rsid w:val="00380B36"/>
    <w:rsid w:val="00380D80"/>
    <w:rsid w:val="00380E9B"/>
    <w:rsid w:val="00381004"/>
    <w:rsid w:val="003810DF"/>
    <w:rsid w:val="00381254"/>
    <w:rsid w:val="003812CD"/>
    <w:rsid w:val="003819C8"/>
    <w:rsid w:val="00381DF5"/>
    <w:rsid w:val="00381F7F"/>
    <w:rsid w:val="00382046"/>
    <w:rsid w:val="00382226"/>
    <w:rsid w:val="003826A1"/>
    <w:rsid w:val="0038298B"/>
    <w:rsid w:val="00382D65"/>
    <w:rsid w:val="00383828"/>
    <w:rsid w:val="00383A41"/>
    <w:rsid w:val="00383AD5"/>
    <w:rsid w:val="00383C82"/>
    <w:rsid w:val="003847CD"/>
    <w:rsid w:val="003848BF"/>
    <w:rsid w:val="00384C29"/>
    <w:rsid w:val="00384E01"/>
    <w:rsid w:val="00384FF6"/>
    <w:rsid w:val="0038500E"/>
    <w:rsid w:val="00385165"/>
    <w:rsid w:val="00385B29"/>
    <w:rsid w:val="0038615D"/>
    <w:rsid w:val="00386164"/>
    <w:rsid w:val="0038622E"/>
    <w:rsid w:val="003863BC"/>
    <w:rsid w:val="0038644D"/>
    <w:rsid w:val="0038709B"/>
    <w:rsid w:val="003872E6"/>
    <w:rsid w:val="0038761D"/>
    <w:rsid w:val="003876D3"/>
    <w:rsid w:val="00387A8E"/>
    <w:rsid w:val="003900CE"/>
    <w:rsid w:val="0039042E"/>
    <w:rsid w:val="003905EF"/>
    <w:rsid w:val="003906BB"/>
    <w:rsid w:val="003906F8"/>
    <w:rsid w:val="003909CB"/>
    <w:rsid w:val="003909D1"/>
    <w:rsid w:val="00390C51"/>
    <w:rsid w:val="00390EAD"/>
    <w:rsid w:val="00390EBD"/>
    <w:rsid w:val="00390FE8"/>
    <w:rsid w:val="003919F3"/>
    <w:rsid w:val="00391C73"/>
    <w:rsid w:val="003920BE"/>
    <w:rsid w:val="00392223"/>
    <w:rsid w:val="0039226D"/>
    <w:rsid w:val="00392450"/>
    <w:rsid w:val="00392605"/>
    <w:rsid w:val="0039264B"/>
    <w:rsid w:val="003927B1"/>
    <w:rsid w:val="00392905"/>
    <w:rsid w:val="0039308E"/>
    <w:rsid w:val="0039311D"/>
    <w:rsid w:val="0039333A"/>
    <w:rsid w:val="003935EE"/>
    <w:rsid w:val="00393A85"/>
    <w:rsid w:val="00393B23"/>
    <w:rsid w:val="00393EE9"/>
    <w:rsid w:val="0039408A"/>
    <w:rsid w:val="003945F1"/>
    <w:rsid w:val="003945F5"/>
    <w:rsid w:val="00394C25"/>
    <w:rsid w:val="00394C33"/>
    <w:rsid w:val="00394FD2"/>
    <w:rsid w:val="00394FEE"/>
    <w:rsid w:val="0039502D"/>
    <w:rsid w:val="0039535B"/>
    <w:rsid w:val="003953E1"/>
    <w:rsid w:val="003955FB"/>
    <w:rsid w:val="00395882"/>
    <w:rsid w:val="00396363"/>
    <w:rsid w:val="003966FF"/>
    <w:rsid w:val="0039673D"/>
    <w:rsid w:val="0039692D"/>
    <w:rsid w:val="00396BD0"/>
    <w:rsid w:val="00396CF3"/>
    <w:rsid w:val="00396E78"/>
    <w:rsid w:val="00396E9B"/>
    <w:rsid w:val="003975DA"/>
    <w:rsid w:val="0039775F"/>
    <w:rsid w:val="00397893"/>
    <w:rsid w:val="0039797B"/>
    <w:rsid w:val="00397998"/>
    <w:rsid w:val="00397A53"/>
    <w:rsid w:val="00397E7C"/>
    <w:rsid w:val="003A00DB"/>
    <w:rsid w:val="003A08F8"/>
    <w:rsid w:val="003A0DDB"/>
    <w:rsid w:val="003A0F71"/>
    <w:rsid w:val="003A1145"/>
    <w:rsid w:val="003A1D06"/>
    <w:rsid w:val="003A1F1E"/>
    <w:rsid w:val="003A239F"/>
    <w:rsid w:val="003A2407"/>
    <w:rsid w:val="003A28F9"/>
    <w:rsid w:val="003A2B8B"/>
    <w:rsid w:val="003A2CF0"/>
    <w:rsid w:val="003A2FE5"/>
    <w:rsid w:val="003A33D3"/>
    <w:rsid w:val="003A3852"/>
    <w:rsid w:val="003A3880"/>
    <w:rsid w:val="003A43C9"/>
    <w:rsid w:val="003A47CA"/>
    <w:rsid w:val="003A4B52"/>
    <w:rsid w:val="003A4EE4"/>
    <w:rsid w:val="003A506C"/>
    <w:rsid w:val="003A59F0"/>
    <w:rsid w:val="003A5A85"/>
    <w:rsid w:val="003A5A8F"/>
    <w:rsid w:val="003A5BC5"/>
    <w:rsid w:val="003A5C4C"/>
    <w:rsid w:val="003A5D55"/>
    <w:rsid w:val="003A5EF5"/>
    <w:rsid w:val="003A6126"/>
    <w:rsid w:val="003A617C"/>
    <w:rsid w:val="003A65EE"/>
    <w:rsid w:val="003A6CD7"/>
    <w:rsid w:val="003A75E6"/>
    <w:rsid w:val="003A76D0"/>
    <w:rsid w:val="003A79EA"/>
    <w:rsid w:val="003A7EB0"/>
    <w:rsid w:val="003A7F37"/>
    <w:rsid w:val="003B0417"/>
    <w:rsid w:val="003B0985"/>
    <w:rsid w:val="003B0D5A"/>
    <w:rsid w:val="003B0E88"/>
    <w:rsid w:val="003B1F7B"/>
    <w:rsid w:val="003B22EB"/>
    <w:rsid w:val="003B2315"/>
    <w:rsid w:val="003B231D"/>
    <w:rsid w:val="003B255B"/>
    <w:rsid w:val="003B2885"/>
    <w:rsid w:val="003B2C26"/>
    <w:rsid w:val="003B3317"/>
    <w:rsid w:val="003B355D"/>
    <w:rsid w:val="003B3663"/>
    <w:rsid w:val="003B3811"/>
    <w:rsid w:val="003B3A1C"/>
    <w:rsid w:val="003B3CCB"/>
    <w:rsid w:val="003B469F"/>
    <w:rsid w:val="003B497B"/>
    <w:rsid w:val="003B4AF7"/>
    <w:rsid w:val="003B4B2F"/>
    <w:rsid w:val="003B4C50"/>
    <w:rsid w:val="003B52D4"/>
    <w:rsid w:val="003B53E1"/>
    <w:rsid w:val="003B5497"/>
    <w:rsid w:val="003B585E"/>
    <w:rsid w:val="003B633A"/>
    <w:rsid w:val="003B66BC"/>
    <w:rsid w:val="003B69BB"/>
    <w:rsid w:val="003B6C0C"/>
    <w:rsid w:val="003B72B6"/>
    <w:rsid w:val="003B7AD9"/>
    <w:rsid w:val="003B7B75"/>
    <w:rsid w:val="003B7C0A"/>
    <w:rsid w:val="003C0340"/>
    <w:rsid w:val="003C0D7B"/>
    <w:rsid w:val="003C0FC5"/>
    <w:rsid w:val="003C14CE"/>
    <w:rsid w:val="003C1829"/>
    <w:rsid w:val="003C1CA5"/>
    <w:rsid w:val="003C1EC7"/>
    <w:rsid w:val="003C20C8"/>
    <w:rsid w:val="003C2189"/>
    <w:rsid w:val="003C26A0"/>
    <w:rsid w:val="003C285C"/>
    <w:rsid w:val="003C2D64"/>
    <w:rsid w:val="003C3A7A"/>
    <w:rsid w:val="003C3C9C"/>
    <w:rsid w:val="003C3D8E"/>
    <w:rsid w:val="003C55B4"/>
    <w:rsid w:val="003C5E61"/>
    <w:rsid w:val="003C6042"/>
    <w:rsid w:val="003C6168"/>
    <w:rsid w:val="003C64A0"/>
    <w:rsid w:val="003C653C"/>
    <w:rsid w:val="003C6A4F"/>
    <w:rsid w:val="003C6B0A"/>
    <w:rsid w:val="003C6D48"/>
    <w:rsid w:val="003C6E68"/>
    <w:rsid w:val="003C6F0B"/>
    <w:rsid w:val="003C72B9"/>
    <w:rsid w:val="003C7505"/>
    <w:rsid w:val="003C770D"/>
    <w:rsid w:val="003C779F"/>
    <w:rsid w:val="003C78C7"/>
    <w:rsid w:val="003C7BA3"/>
    <w:rsid w:val="003D0039"/>
    <w:rsid w:val="003D070D"/>
    <w:rsid w:val="003D098F"/>
    <w:rsid w:val="003D0A1D"/>
    <w:rsid w:val="003D0A75"/>
    <w:rsid w:val="003D0BF3"/>
    <w:rsid w:val="003D13A1"/>
    <w:rsid w:val="003D178B"/>
    <w:rsid w:val="003D2079"/>
    <w:rsid w:val="003D21FB"/>
    <w:rsid w:val="003D26A3"/>
    <w:rsid w:val="003D2E21"/>
    <w:rsid w:val="003D3642"/>
    <w:rsid w:val="003D3741"/>
    <w:rsid w:val="003D443A"/>
    <w:rsid w:val="003D44C2"/>
    <w:rsid w:val="003D4A2C"/>
    <w:rsid w:val="003D4E9C"/>
    <w:rsid w:val="003D508A"/>
    <w:rsid w:val="003D5764"/>
    <w:rsid w:val="003D58AF"/>
    <w:rsid w:val="003D5EE8"/>
    <w:rsid w:val="003D61B3"/>
    <w:rsid w:val="003D64D3"/>
    <w:rsid w:val="003D6736"/>
    <w:rsid w:val="003D6A2B"/>
    <w:rsid w:val="003D75D1"/>
    <w:rsid w:val="003D79DD"/>
    <w:rsid w:val="003E0236"/>
    <w:rsid w:val="003E0930"/>
    <w:rsid w:val="003E0D78"/>
    <w:rsid w:val="003E0DAE"/>
    <w:rsid w:val="003E1057"/>
    <w:rsid w:val="003E145E"/>
    <w:rsid w:val="003E1964"/>
    <w:rsid w:val="003E1BC3"/>
    <w:rsid w:val="003E1C81"/>
    <w:rsid w:val="003E1CB1"/>
    <w:rsid w:val="003E2304"/>
    <w:rsid w:val="003E2C1A"/>
    <w:rsid w:val="003E2DA6"/>
    <w:rsid w:val="003E326E"/>
    <w:rsid w:val="003E36A0"/>
    <w:rsid w:val="003E36CC"/>
    <w:rsid w:val="003E36EB"/>
    <w:rsid w:val="003E3988"/>
    <w:rsid w:val="003E3A08"/>
    <w:rsid w:val="003E3A1D"/>
    <w:rsid w:val="003E3E5C"/>
    <w:rsid w:val="003E3E7B"/>
    <w:rsid w:val="003E3EC9"/>
    <w:rsid w:val="003E4397"/>
    <w:rsid w:val="003E466B"/>
    <w:rsid w:val="003E4D43"/>
    <w:rsid w:val="003E4FC8"/>
    <w:rsid w:val="003E5013"/>
    <w:rsid w:val="003E5250"/>
    <w:rsid w:val="003E538B"/>
    <w:rsid w:val="003E623B"/>
    <w:rsid w:val="003E6325"/>
    <w:rsid w:val="003E636F"/>
    <w:rsid w:val="003E64A4"/>
    <w:rsid w:val="003E6508"/>
    <w:rsid w:val="003E650B"/>
    <w:rsid w:val="003E658F"/>
    <w:rsid w:val="003E66DA"/>
    <w:rsid w:val="003E6715"/>
    <w:rsid w:val="003E6CA0"/>
    <w:rsid w:val="003E6D80"/>
    <w:rsid w:val="003E71BC"/>
    <w:rsid w:val="003E7892"/>
    <w:rsid w:val="003E7950"/>
    <w:rsid w:val="003E7DEB"/>
    <w:rsid w:val="003F025A"/>
    <w:rsid w:val="003F036A"/>
    <w:rsid w:val="003F17C0"/>
    <w:rsid w:val="003F1B1F"/>
    <w:rsid w:val="003F1CA1"/>
    <w:rsid w:val="003F1F41"/>
    <w:rsid w:val="003F2119"/>
    <w:rsid w:val="003F28EE"/>
    <w:rsid w:val="003F29F9"/>
    <w:rsid w:val="003F2FDE"/>
    <w:rsid w:val="003F330B"/>
    <w:rsid w:val="003F343C"/>
    <w:rsid w:val="003F352F"/>
    <w:rsid w:val="003F360B"/>
    <w:rsid w:val="003F3B63"/>
    <w:rsid w:val="003F3D87"/>
    <w:rsid w:val="003F3DB4"/>
    <w:rsid w:val="003F41AC"/>
    <w:rsid w:val="003F4536"/>
    <w:rsid w:val="003F4BEF"/>
    <w:rsid w:val="003F50A2"/>
    <w:rsid w:val="003F54A8"/>
    <w:rsid w:val="003F54F3"/>
    <w:rsid w:val="003F58B9"/>
    <w:rsid w:val="003F5CCF"/>
    <w:rsid w:val="003F5E51"/>
    <w:rsid w:val="003F6019"/>
    <w:rsid w:val="003F61B7"/>
    <w:rsid w:val="003F6827"/>
    <w:rsid w:val="003F683C"/>
    <w:rsid w:val="003F6BA9"/>
    <w:rsid w:val="003F6FDF"/>
    <w:rsid w:val="003F6FE5"/>
    <w:rsid w:val="003F704C"/>
    <w:rsid w:val="003F7222"/>
    <w:rsid w:val="003F7546"/>
    <w:rsid w:val="003F796E"/>
    <w:rsid w:val="003F79CE"/>
    <w:rsid w:val="003F7CE1"/>
    <w:rsid w:val="00400304"/>
    <w:rsid w:val="00400774"/>
    <w:rsid w:val="00400794"/>
    <w:rsid w:val="00400B59"/>
    <w:rsid w:val="004013AD"/>
    <w:rsid w:val="004016B8"/>
    <w:rsid w:val="004016F5"/>
    <w:rsid w:val="004017C4"/>
    <w:rsid w:val="00401887"/>
    <w:rsid w:val="00401CA5"/>
    <w:rsid w:val="004020B4"/>
    <w:rsid w:val="0040227B"/>
    <w:rsid w:val="004026AD"/>
    <w:rsid w:val="00402C5F"/>
    <w:rsid w:val="00402F0F"/>
    <w:rsid w:val="00402F99"/>
    <w:rsid w:val="00402FD6"/>
    <w:rsid w:val="0040334F"/>
    <w:rsid w:val="00403F87"/>
    <w:rsid w:val="00404474"/>
    <w:rsid w:val="004045AA"/>
    <w:rsid w:val="0040485C"/>
    <w:rsid w:val="00404B4A"/>
    <w:rsid w:val="00404C1D"/>
    <w:rsid w:val="004050AA"/>
    <w:rsid w:val="0040542F"/>
    <w:rsid w:val="0040549A"/>
    <w:rsid w:val="004057F6"/>
    <w:rsid w:val="00405A53"/>
    <w:rsid w:val="00405CC9"/>
    <w:rsid w:val="00405DCE"/>
    <w:rsid w:val="00406350"/>
    <w:rsid w:val="0040650D"/>
    <w:rsid w:val="00406788"/>
    <w:rsid w:val="00406866"/>
    <w:rsid w:val="0040711E"/>
    <w:rsid w:val="004072A9"/>
    <w:rsid w:val="00407695"/>
    <w:rsid w:val="004077A6"/>
    <w:rsid w:val="004078AD"/>
    <w:rsid w:val="00407D16"/>
    <w:rsid w:val="00407D67"/>
    <w:rsid w:val="0041053A"/>
    <w:rsid w:val="00410B72"/>
    <w:rsid w:val="00410C1B"/>
    <w:rsid w:val="00410FCF"/>
    <w:rsid w:val="004113ED"/>
    <w:rsid w:val="004117E3"/>
    <w:rsid w:val="00411EC6"/>
    <w:rsid w:val="00411F7F"/>
    <w:rsid w:val="00412450"/>
    <w:rsid w:val="004124EC"/>
    <w:rsid w:val="00412528"/>
    <w:rsid w:val="00412822"/>
    <w:rsid w:val="00412A90"/>
    <w:rsid w:val="00412F59"/>
    <w:rsid w:val="00412FE9"/>
    <w:rsid w:val="00413166"/>
    <w:rsid w:val="00413572"/>
    <w:rsid w:val="004138AE"/>
    <w:rsid w:val="004138DE"/>
    <w:rsid w:val="00413A16"/>
    <w:rsid w:val="00413A4C"/>
    <w:rsid w:val="00413A97"/>
    <w:rsid w:val="00413B39"/>
    <w:rsid w:val="00413E39"/>
    <w:rsid w:val="00414186"/>
    <w:rsid w:val="00414362"/>
    <w:rsid w:val="00414714"/>
    <w:rsid w:val="00414783"/>
    <w:rsid w:val="00414808"/>
    <w:rsid w:val="0041482D"/>
    <w:rsid w:val="00414B2F"/>
    <w:rsid w:val="00414D35"/>
    <w:rsid w:val="0041512A"/>
    <w:rsid w:val="00415355"/>
    <w:rsid w:val="0041540E"/>
    <w:rsid w:val="004154EB"/>
    <w:rsid w:val="00415942"/>
    <w:rsid w:val="00415E58"/>
    <w:rsid w:val="00416231"/>
    <w:rsid w:val="00416566"/>
    <w:rsid w:val="004165CA"/>
    <w:rsid w:val="00416910"/>
    <w:rsid w:val="00416AE4"/>
    <w:rsid w:val="00416AF9"/>
    <w:rsid w:val="00416D35"/>
    <w:rsid w:val="00416DCD"/>
    <w:rsid w:val="00416DEC"/>
    <w:rsid w:val="00416F38"/>
    <w:rsid w:val="00416FA2"/>
    <w:rsid w:val="004172AA"/>
    <w:rsid w:val="004174DF"/>
    <w:rsid w:val="00417879"/>
    <w:rsid w:val="00417EEE"/>
    <w:rsid w:val="00417FF4"/>
    <w:rsid w:val="004201DB"/>
    <w:rsid w:val="00420273"/>
    <w:rsid w:val="0042040F"/>
    <w:rsid w:val="0042044A"/>
    <w:rsid w:val="004208AB"/>
    <w:rsid w:val="00421079"/>
    <w:rsid w:val="00421351"/>
    <w:rsid w:val="004219EF"/>
    <w:rsid w:val="00421A72"/>
    <w:rsid w:val="00421E09"/>
    <w:rsid w:val="004220FE"/>
    <w:rsid w:val="0042225D"/>
    <w:rsid w:val="0042251F"/>
    <w:rsid w:val="00422EC4"/>
    <w:rsid w:val="004230B0"/>
    <w:rsid w:val="004230FE"/>
    <w:rsid w:val="00423315"/>
    <w:rsid w:val="00423892"/>
    <w:rsid w:val="00423996"/>
    <w:rsid w:val="00423A0F"/>
    <w:rsid w:val="00423E0D"/>
    <w:rsid w:val="00424348"/>
    <w:rsid w:val="00424570"/>
    <w:rsid w:val="00424B7F"/>
    <w:rsid w:val="004251EF"/>
    <w:rsid w:val="004253A9"/>
    <w:rsid w:val="004253E6"/>
    <w:rsid w:val="004254C5"/>
    <w:rsid w:val="004257FC"/>
    <w:rsid w:val="00425B99"/>
    <w:rsid w:val="00425BD8"/>
    <w:rsid w:val="00426429"/>
    <w:rsid w:val="0042662D"/>
    <w:rsid w:val="0042689D"/>
    <w:rsid w:val="00426BD5"/>
    <w:rsid w:val="00426CD9"/>
    <w:rsid w:val="00426FF6"/>
    <w:rsid w:val="00427029"/>
    <w:rsid w:val="00427D32"/>
    <w:rsid w:val="00430969"/>
    <w:rsid w:val="00430FEB"/>
    <w:rsid w:val="004310EE"/>
    <w:rsid w:val="00431500"/>
    <w:rsid w:val="00431735"/>
    <w:rsid w:val="004317D8"/>
    <w:rsid w:val="004318FD"/>
    <w:rsid w:val="00431D42"/>
    <w:rsid w:val="0043218D"/>
    <w:rsid w:val="00432A8C"/>
    <w:rsid w:val="00432BD4"/>
    <w:rsid w:val="00432E0E"/>
    <w:rsid w:val="00433032"/>
    <w:rsid w:val="00433677"/>
    <w:rsid w:val="00433F1A"/>
    <w:rsid w:val="004340D5"/>
    <w:rsid w:val="00434192"/>
    <w:rsid w:val="00434576"/>
    <w:rsid w:val="00434784"/>
    <w:rsid w:val="00434880"/>
    <w:rsid w:val="00434A21"/>
    <w:rsid w:val="00434D87"/>
    <w:rsid w:val="0043526D"/>
    <w:rsid w:val="00435E61"/>
    <w:rsid w:val="00435EA1"/>
    <w:rsid w:val="00435FBA"/>
    <w:rsid w:val="004365BF"/>
    <w:rsid w:val="004367DC"/>
    <w:rsid w:val="00436D0C"/>
    <w:rsid w:val="00437165"/>
    <w:rsid w:val="00437188"/>
    <w:rsid w:val="00437F5D"/>
    <w:rsid w:val="004407F4"/>
    <w:rsid w:val="00440E71"/>
    <w:rsid w:val="0044144C"/>
    <w:rsid w:val="004416D0"/>
    <w:rsid w:val="00442CCD"/>
    <w:rsid w:val="00442E6D"/>
    <w:rsid w:val="004433B4"/>
    <w:rsid w:val="004436CC"/>
    <w:rsid w:val="004437EE"/>
    <w:rsid w:val="004438CD"/>
    <w:rsid w:val="0044396F"/>
    <w:rsid w:val="00443FF5"/>
    <w:rsid w:val="00444393"/>
    <w:rsid w:val="00444467"/>
    <w:rsid w:val="004449A8"/>
    <w:rsid w:val="00445026"/>
    <w:rsid w:val="0044553B"/>
    <w:rsid w:val="004457A9"/>
    <w:rsid w:val="00445C33"/>
    <w:rsid w:val="00445D27"/>
    <w:rsid w:val="004460E9"/>
    <w:rsid w:val="00446527"/>
    <w:rsid w:val="00446642"/>
    <w:rsid w:val="0044679B"/>
    <w:rsid w:val="00446D82"/>
    <w:rsid w:val="00446E49"/>
    <w:rsid w:val="004471BC"/>
    <w:rsid w:val="004471EE"/>
    <w:rsid w:val="004473F4"/>
    <w:rsid w:val="004474F0"/>
    <w:rsid w:val="00447758"/>
    <w:rsid w:val="004479BC"/>
    <w:rsid w:val="00447B6F"/>
    <w:rsid w:val="00447C52"/>
    <w:rsid w:val="004501C4"/>
    <w:rsid w:val="0045038B"/>
    <w:rsid w:val="00450A95"/>
    <w:rsid w:val="00450F16"/>
    <w:rsid w:val="00450F9B"/>
    <w:rsid w:val="00451116"/>
    <w:rsid w:val="00451448"/>
    <w:rsid w:val="0045150E"/>
    <w:rsid w:val="004518F7"/>
    <w:rsid w:val="00451B65"/>
    <w:rsid w:val="00452DC5"/>
    <w:rsid w:val="00452E3F"/>
    <w:rsid w:val="00452EFF"/>
    <w:rsid w:val="00452F61"/>
    <w:rsid w:val="0045322C"/>
    <w:rsid w:val="00453623"/>
    <w:rsid w:val="00453C11"/>
    <w:rsid w:val="0045418E"/>
    <w:rsid w:val="004541F7"/>
    <w:rsid w:val="00454396"/>
    <w:rsid w:val="00454562"/>
    <w:rsid w:val="004545E7"/>
    <w:rsid w:val="00455096"/>
    <w:rsid w:val="00455778"/>
    <w:rsid w:val="004557B0"/>
    <w:rsid w:val="00455B67"/>
    <w:rsid w:val="0045603E"/>
    <w:rsid w:val="00456117"/>
    <w:rsid w:val="004565D0"/>
    <w:rsid w:val="00456837"/>
    <w:rsid w:val="00456921"/>
    <w:rsid w:val="00457655"/>
    <w:rsid w:val="00457946"/>
    <w:rsid w:val="004579B1"/>
    <w:rsid w:val="00457D8B"/>
    <w:rsid w:val="00457E26"/>
    <w:rsid w:val="00460A0B"/>
    <w:rsid w:val="00460A17"/>
    <w:rsid w:val="00460F3C"/>
    <w:rsid w:val="004610EC"/>
    <w:rsid w:val="004610F1"/>
    <w:rsid w:val="0046120A"/>
    <w:rsid w:val="004612F4"/>
    <w:rsid w:val="00461614"/>
    <w:rsid w:val="00461BCD"/>
    <w:rsid w:val="0046216D"/>
    <w:rsid w:val="004628B7"/>
    <w:rsid w:val="00462D71"/>
    <w:rsid w:val="00462F79"/>
    <w:rsid w:val="0046335E"/>
    <w:rsid w:val="00463438"/>
    <w:rsid w:val="00463692"/>
    <w:rsid w:val="00463811"/>
    <w:rsid w:val="0046397F"/>
    <w:rsid w:val="00463A93"/>
    <w:rsid w:val="00463ECE"/>
    <w:rsid w:val="0046453C"/>
    <w:rsid w:val="00464A44"/>
    <w:rsid w:val="00464B39"/>
    <w:rsid w:val="00464B43"/>
    <w:rsid w:val="00465388"/>
    <w:rsid w:val="004657B6"/>
    <w:rsid w:val="00465B0A"/>
    <w:rsid w:val="00466192"/>
    <w:rsid w:val="0046650A"/>
    <w:rsid w:val="00466B1A"/>
    <w:rsid w:val="0046753C"/>
    <w:rsid w:val="004677C9"/>
    <w:rsid w:val="00467AC1"/>
    <w:rsid w:val="00467F12"/>
    <w:rsid w:val="004704ED"/>
    <w:rsid w:val="00470A24"/>
    <w:rsid w:val="00470CB5"/>
    <w:rsid w:val="0047133E"/>
    <w:rsid w:val="004714E9"/>
    <w:rsid w:val="0047166E"/>
    <w:rsid w:val="00471822"/>
    <w:rsid w:val="004719D6"/>
    <w:rsid w:val="00471EAB"/>
    <w:rsid w:val="004720DC"/>
    <w:rsid w:val="004722A1"/>
    <w:rsid w:val="004723EE"/>
    <w:rsid w:val="00472941"/>
    <w:rsid w:val="00472BEA"/>
    <w:rsid w:val="00472C63"/>
    <w:rsid w:val="00472C8E"/>
    <w:rsid w:val="00473848"/>
    <w:rsid w:val="00473D52"/>
    <w:rsid w:val="00474096"/>
    <w:rsid w:val="0047436F"/>
    <w:rsid w:val="004745EC"/>
    <w:rsid w:val="0047483A"/>
    <w:rsid w:val="00474993"/>
    <w:rsid w:val="00474B35"/>
    <w:rsid w:val="00474D2A"/>
    <w:rsid w:val="0047500D"/>
    <w:rsid w:val="00475A92"/>
    <w:rsid w:val="00476721"/>
    <w:rsid w:val="00476B42"/>
    <w:rsid w:val="00477BB9"/>
    <w:rsid w:val="00477CF8"/>
    <w:rsid w:val="00477D93"/>
    <w:rsid w:val="00480072"/>
    <w:rsid w:val="004802AE"/>
    <w:rsid w:val="00480384"/>
    <w:rsid w:val="00480B90"/>
    <w:rsid w:val="004812CA"/>
    <w:rsid w:val="00481636"/>
    <w:rsid w:val="00481728"/>
    <w:rsid w:val="004817BA"/>
    <w:rsid w:val="00481920"/>
    <w:rsid w:val="00482217"/>
    <w:rsid w:val="0048269B"/>
    <w:rsid w:val="004826B2"/>
    <w:rsid w:val="00482929"/>
    <w:rsid w:val="00482DBD"/>
    <w:rsid w:val="00483003"/>
    <w:rsid w:val="004835C9"/>
    <w:rsid w:val="00483929"/>
    <w:rsid w:val="00483F26"/>
    <w:rsid w:val="00484565"/>
    <w:rsid w:val="004846CD"/>
    <w:rsid w:val="0048490E"/>
    <w:rsid w:val="00484928"/>
    <w:rsid w:val="004853AF"/>
    <w:rsid w:val="004853B2"/>
    <w:rsid w:val="0048571F"/>
    <w:rsid w:val="00485772"/>
    <w:rsid w:val="00485892"/>
    <w:rsid w:val="004859EE"/>
    <w:rsid w:val="00485AA6"/>
    <w:rsid w:val="004866B0"/>
    <w:rsid w:val="00486893"/>
    <w:rsid w:val="004869A6"/>
    <w:rsid w:val="004869F5"/>
    <w:rsid w:val="00486E0D"/>
    <w:rsid w:val="00486E4F"/>
    <w:rsid w:val="004872CF"/>
    <w:rsid w:val="00487366"/>
    <w:rsid w:val="004873E4"/>
    <w:rsid w:val="00487799"/>
    <w:rsid w:val="004877EC"/>
    <w:rsid w:val="00487A9F"/>
    <w:rsid w:val="00490155"/>
    <w:rsid w:val="00490382"/>
    <w:rsid w:val="0049042C"/>
    <w:rsid w:val="0049064F"/>
    <w:rsid w:val="00490676"/>
    <w:rsid w:val="0049072C"/>
    <w:rsid w:val="00490749"/>
    <w:rsid w:val="00490C27"/>
    <w:rsid w:val="00490FD1"/>
    <w:rsid w:val="0049127A"/>
    <w:rsid w:val="004919B9"/>
    <w:rsid w:val="00491AD2"/>
    <w:rsid w:val="00491C7D"/>
    <w:rsid w:val="0049218F"/>
    <w:rsid w:val="0049256C"/>
    <w:rsid w:val="004927AC"/>
    <w:rsid w:val="00492B07"/>
    <w:rsid w:val="00492CD2"/>
    <w:rsid w:val="004931FA"/>
    <w:rsid w:val="004935C0"/>
    <w:rsid w:val="00493649"/>
    <w:rsid w:val="00493765"/>
    <w:rsid w:val="00493B43"/>
    <w:rsid w:val="00493D49"/>
    <w:rsid w:val="00493F94"/>
    <w:rsid w:val="004940FD"/>
    <w:rsid w:val="00494E83"/>
    <w:rsid w:val="00494EB1"/>
    <w:rsid w:val="00494FAF"/>
    <w:rsid w:val="004952E3"/>
    <w:rsid w:val="0049551A"/>
    <w:rsid w:val="00495782"/>
    <w:rsid w:val="0049597C"/>
    <w:rsid w:val="00495B76"/>
    <w:rsid w:val="004963C3"/>
    <w:rsid w:val="00496414"/>
    <w:rsid w:val="0049646B"/>
    <w:rsid w:val="0049676D"/>
    <w:rsid w:val="004969D7"/>
    <w:rsid w:val="004969D8"/>
    <w:rsid w:val="00496C9C"/>
    <w:rsid w:val="00496D83"/>
    <w:rsid w:val="004971E3"/>
    <w:rsid w:val="00497791"/>
    <w:rsid w:val="004978EF"/>
    <w:rsid w:val="00497A38"/>
    <w:rsid w:val="00497C96"/>
    <w:rsid w:val="004A03B8"/>
    <w:rsid w:val="004A042C"/>
    <w:rsid w:val="004A06E8"/>
    <w:rsid w:val="004A0AA4"/>
    <w:rsid w:val="004A0C13"/>
    <w:rsid w:val="004A0C55"/>
    <w:rsid w:val="004A0D51"/>
    <w:rsid w:val="004A151F"/>
    <w:rsid w:val="004A2017"/>
    <w:rsid w:val="004A2594"/>
    <w:rsid w:val="004A2C6A"/>
    <w:rsid w:val="004A2E6B"/>
    <w:rsid w:val="004A2FEC"/>
    <w:rsid w:val="004A3103"/>
    <w:rsid w:val="004A32AD"/>
    <w:rsid w:val="004A34FC"/>
    <w:rsid w:val="004A3A9D"/>
    <w:rsid w:val="004A3C4F"/>
    <w:rsid w:val="004A4072"/>
    <w:rsid w:val="004A4219"/>
    <w:rsid w:val="004A442F"/>
    <w:rsid w:val="004A45BD"/>
    <w:rsid w:val="004A4656"/>
    <w:rsid w:val="004A4C29"/>
    <w:rsid w:val="004A4D83"/>
    <w:rsid w:val="004A4F88"/>
    <w:rsid w:val="004A503F"/>
    <w:rsid w:val="004A54B3"/>
    <w:rsid w:val="004A56A2"/>
    <w:rsid w:val="004A5956"/>
    <w:rsid w:val="004A5976"/>
    <w:rsid w:val="004A5998"/>
    <w:rsid w:val="004A5A22"/>
    <w:rsid w:val="004A5AB4"/>
    <w:rsid w:val="004A5D7D"/>
    <w:rsid w:val="004A62D8"/>
    <w:rsid w:val="004A64FA"/>
    <w:rsid w:val="004A6723"/>
    <w:rsid w:val="004A6738"/>
    <w:rsid w:val="004A67B0"/>
    <w:rsid w:val="004A67EE"/>
    <w:rsid w:val="004A68E3"/>
    <w:rsid w:val="004A6A02"/>
    <w:rsid w:val="004A6E68"/>
    <w:rsid w:val="004A77B0"/>
    <w:rsid w:val="004A7CF3"/>
    <w:rsid w:val="004A7D9F"/>
    <w:rsid w:val="004B020B"/>
    <w:rsid w:val="004B0422"/>
    <w:rsid w:val="004B08A9"/>
    <w:rsid w:val="004B0C11"/>
    <w:rsid w:val="004B0DF2"/>
    <w:rsid w:val="004B0FEA"/>
    <w:rsid w:val="004B12DC"/>
    <w:rsid w:val="004B1CED"/>
    <w:rsid w:val="004B1F60"/>
    <w:rsid w:val="004B219A"/>
    <w:rsid w:val="004B2328"/>
    <w:rsid w:val="004B250F"/>
    <w:rsid w:val="004B25B5"/>
    <w:rsid w:val="004B2BC8"/>
    <w:rsid w:val="004B2BF7"/>
    <w:rsid w:val="004B3172"/>
    <w:rsid w:val="004B319E"/>
    <w:rsid w:val="004B31AC"/>
    <w:rsid w:val="004B34A7"/>
    <w:rsid w:val="004B3727"/>
    <w:rsid w:val="004B37A2"/>
    <w:rsid w:val="004B3B06"/>
    <w:rsid w:val="004B3BDD"/>
    <w:rsid w:val="004B3ED5"/>
    <w:rsid w:val="004B4643"/>
    <w:rsid w:val="004B4C40"/>
    <w:rsid w:val="004B4E0A"/>
    <w:rsid w:val="004B5025"/>
    <w:rsid w:val="004B5098"/>
    <w:rsid w:val="004B523B"/>
    <w:rsid w:val="004B53E3"/>
    <w:rsid w:val="004B54FF"/>
    <w:rsid w:val="004B5C85"/>
    <w:rsid w:val="004B6421"/>
    <w:rsid w:val="004B675C"/>
    <w:rsid w:val="004B67A3"/>
    <w:rsid w:val="004B67D7"/>
    <w:rsid w:val="004B6898"/>
    <w:rsid w:val="004B6AD5"/>
    <w:rsid w:val="004B6CAD"/>
    <w:rsid w:val="004B700B"/>
    <w:rsid w:val="004B70A2"/>
    <w:rsid w:val="004B7619"/>
    <w:rsid w:val="004B7F65"/>
    <w:rsid w:val="004B7F67"/>
    <w:rsid w:val="004C01A7"/>
    <w:rsid w:val="004C0626"/>
    <w:rsid w:val="004C06BE"/>
    <w:rsid w:val="004C0938"/>
    <w:rsid w:val="004C0EEA"/>
    <w:rsid w:val="004C1948"/>
    <w:rsid w:val="004C1994"/>
    <w:rsid w:val="004C1C9A"/>
    <w:rsid w:val="004C1D08"/>
    <w:rsid w:val="004C1D11"/>
    <w:rsid w:val="004C1D1E"/>
    <w:rsid w:val="004C2063"/>
    <w:rsid w:val="004C207D"/>
    <w:rsid w:val="004C2732"/>
    <w:rsid w:val="004C2944"/>
    <w:rsid w:val="004C3040"/>
    <w:rsid w:val="004C323C"/>
    <w:rsid w:val="004C3301"/>
    <w:rsid w:val="004C4257"/>
    <w:rsid w:val="004C4363"/>
    <w:rsid w:val="004C4520"/>
    <w:rsid w:val="004C4F01"/>
    <w:rsid w:val="004C50E1"/>
    <w:rsid w:val="004C54F3"/>
    <w:rsid w:val="004C5A5A"/>
    <w:rsid w:val="004C6ADE"/>
    <w:rsid w:val="004C70FC"/>
    <w:rsid w:val="004C7798"/>
    <w:rsid w:val="004C79B4"/>
    <w:rsid w:val="004D01AF"/>
    <w:rsid w:val="004D022C"/>
    <w:rsid w:val="004D15D2"/>
    <w:rsid w:val="004D185C"/>
    <w:rsid w:val="004D1B59"/>
    <w:rsid w:val="004D2675"/>
    <w:rsid w:val="004D2819"/>
    <w:rsid w:val="004D28E5"/>
    <w:rsid w:val="004D296C"/>
    <w:rsid w:val="004D2CB0"/>
    <w:rsid w:val="004D4080"/>
    <w:rsid w:val="004D4634"/>
    <w:rsid w:val="004D4A4A"/>
    <w:rsid w:val="004D5314"/>
    <w:rsid w:val="004D5664"/>
    <w:rsid w:val="004D5840"/>
    <w:rsid w:val="004D5880"/>
    <w:rsid w:val="004D5AF9"/>
    <w:rsid w:val="004D624F"/>
    <w:rsid w:val="004D656B"/>
    <w:rsid w:val="004D7646"/>
    <w:rsid w:val="004D77D7"/>
    <w:rsid w:val="004D7934"/>
    <w:rsid w:val="004D79CD"/>
    <w:rsid w:val="004D7FE9"/>
    <w:rsid w:val="004E04E8"/>
    <w:rsid w:val="004E05FD"/>
    <w:rsid w:val="004E085B"/>
    <w:rsid w:val="004E0A44"/>
    <w:rsid w:val="004E0AB3"/>
    <w:rsid w:val="004E1049"/>
    <w:rsid w:val="004E1496"/>
    <w:rsid w:val="004E152F"/>
    <w:rsid w:val="004E1A0D"/>
    <w:rsid w:val="004E1A71"/>
    <w:rsid w:val="004E1B84"/>
    <w:rsid w:val="004E1D3F"/>
    <w:rsid w:val="004E1D83"/>
    <w:rsid w:val="004E2395"/>
    <w:rsid w:val="004E23F5"/>
    <w:rsid w:val="004E2446"/>
    <w:rsid w:val="004E24F1"/>
    <w:rsid w:val="004E25DD"/>
    <w:rsid w:val="004E2920"/>
    <w:rsid w:val="004E2976"/>
    <w:rsid w:val="004E2FE9"/>
    <w:rsid w:val="004E3123"/>
    <w:rsid w:val="004E33A9"/>
    <w:rsid w:val="004E398A"/>
    <w:rsid w:val="004E3A9C"/>
    <w:rsid w:val="004E3BD2"/>
    <w:rsid w:val="004E3C3A"/>
    <w:rsid w:val="004E3C9C"/>
    <w:rsid w:val="004E4048"/>
    <w:rsid w:val="004E421F"/>
    <w:rsid w:val="004E4B2B"/>
    <w:rsid w:val="004E4E28"/>
    <w:rsid w:val="004E4F81"/>
    <w:rsid w:val="004E531D"/>
    <w:rsid w:val="004E5418"/>
    <w:rsid w:val="004E548F"/>
    <w:rsid w:val="004E560F"/>
    <w:rsid w:val="004E5CA5"/>
    <w:rsid w:val="004E63E5"/>
    <w:rsid w:val="004E64A1"/>
    <w:rsid w:val="004E654A"/>
    <w:rsid w:val="004E696D"/>
    <w:rsid w:val="004E6A47"/>
    <w:rsid w:val="004E6B76"/>
    <w:rsid w:val="004E6B7C"/>
    <w:rsid w:val="004E6D72"/>
    <w:rsid w:val="004E6DDF"/>
    <w:rsid w:val="004E7423"/>
    <w:rsid w:val="004F0121"/>
    <w:rsid w:val="004F0161"/>
    <w:rsid w:val="004F03D6"/>
    <w:rsid w:val="004F0418"/>
    <w:rsid w:val="004F04ED"/>
    <w:rsid w:val="004F0634"/>
    <w:rsid w:val="004F069A"/>
    <w:rsid w:val="004F0B1E"/>
    <w:rsid w:val="004F0F1D"/>
    <w:rsid w:val="004F0FB6"/>
    <w:rsid w:val="004F11DE"/>
    <w:rsid w:val="004F136F"/>
    <w:rsid w:val="004F13D9"/>
    <w:rsid w:val="004F1437"/>
    <w:rsid w:val="004F1494"/>
    <w:rsid w:val="004F19C3"/>
    <w:rsid w:val="004F1A89"/>
    <w:rsid w:val="004F1DB7"/>
    <w:rsid w:val="004F2291"/>
    <w:rsid w:val="004F24A8"/>
    <w:rsid w:val="004F2BBB"/>
    <w:rsid w:val="004F2D93"/>
    <w:rsid w:val="004F3540"/>
    <w:rsid w:val="004F3635"/>
    <w:rsid w:val="004F407F"/>
    <w:rsid w:val="004F4174"/>
    <w:rsid w:val="004F41F3"/>
    <w:rsid w:val="004F4CE3"/>
    <w:rsid w:val="004F4FE2"/>
    <w:rsid w:val="004F5277"/>
    <w:rsid w:val="004F52DB"/>
    <w:rsid w:val="004F5624"/>
    <w:rsid w:val="004F578B"/>
    <w:rsid w:val="004F5A82"/>
    <w:rsid w:val="004F5DA4"/>
    <w:rsid w:val="004F603E"/>
    <w:rsid w:val="004F6218"/>
    <w:rsid w:val="004F62B2"/>
    <w:rsid w:val="004F62E1"/>
    <w:rsid w:val="004F6424"/>
    <w:rsid w:val="004F6478"/>
    <w:rsid w:val="004F65FB"/>
    <w:rsid w:val="004F690E"/>
    <w:rsid w:val="004F6E7D"/>
    <w:rsid w:val="004F708F"/>
    <w:rsid w:val="004F70C8"/>
    <w:rsid w:val="004F73A7"/>
    <w:rsid w:val="004F747D"/>
    <w:rsid w:val="004F7837"/>
    <w:rsid w:val="004F79D5"/>
    <w:rsid w:val="004F7E60"/>
    <w:rsid w:val="004F7FBB"/>
    <w:rsid w:val="005001D8"/>
    <w:rsid w:val="00500739"/>
    <w:rsid w:val="00500875"/>
    <w:rsid w:val="00500F7B"/>
    <w:rsid w:val="0050112F"/>
    <w:rsid w:val="0050135C"/>
    <w:rsid w:val="005013D3"/>
    <w:rsid w:val="0050170A"/>
    <w:rsid w:val="00501AA8"/>
    <w:rsid w:val="00501D94"/>
    <w:rsid w:val="00501FEA"/>
    <w:rsid w:val="00502666"/>
    <w:rsid w:val="0050344A"/>
    <w:rsid w:val="0050348C"/>
    <w:rsid w:val="0050379C"/>
    <w:rsid w:val="005037DD"/>
    <w:rsid w:val="005038EA"/>
    <w:rsid w:val="00503A9E"/>
    <w:rsid w:val="00503FCA"/>
    <w:rsid w:val="005040CD"/>
    <w:rsid w:val="00504229"/>
    <w:rsid w:val="005043F7"/>
    <w:rsid w:val="00504D4D"/>
    <w:rsid w:val="00505229"/>
    <w:rsid w:val="00505707"/>
    <w:rsid w:val="005058C4"/>
    <w:rsid w:val="0050590B"/>
    <w:rsid w:val="00505A31"/>
    <w:rsid w:val="0050641A"/>
    <w:rsid w:val="00506863"/>
    <w:rsid w:val="0050692F"/>
    <w:rsid w:val="00506AAC"/>
    <w:rsid w:val="00506AED"/>
    <w:rsid w:val="00506D47"/>
    <w:rsid w:val="0050721B"/>
    <w:rsid w:val="00507817"/>
    <w:rsid w:val="00507F98"/>
    <w:rsid w:val="005103C1"/>
    <w:rsid w:val="00510475"/>
    <w:rsid w:val="00510497"/>
    <w:rsid w:val="005108A3"/>
    <w:rsid w:val="00510DB5"/>
    <w:rsid w:val="00510F6E"/>
    <w:rsid w:val="005113AA"/>
    <w:rsid w:val="00511422"/>
    <w:rsid w:val="005118AE"/>
    <w:rsid w:val="0051200B"/>
    <w:rsid w:val="0051212F"/>
    <w:rsid w:val="00512185"/>
    <w:rsid w:val="0051222F"/>
    <w:rsid w:val="005123D7"/>
    <w:rsid w:val="00512F1D"/>
    <w:rsid w:val="0051303B"/>
    <w:rsid w:val="0051322B"/>
    <w:rsid w:val="005139D8"/>
    <w:rsid w:val="005139F3"/>
    <w:rsid w:val="00513D12"/>
    <w:rsid w:val="005145F0"/>
    <w:rsid w:val="0051481C"/>
    <w:rsid w:val="0051522C"/>
    <w:rsid w:val="0051550B"/>
    <w:rsid w:val="00515665"/>
    <w:rsid w:val="0051587A"/>
    <w:rsid w:val="0051589B"/>
    <w:rsid w:val="005158FA"/>
    <w:rsid w:val="005163CE"/>
    <w:rsid w:val="00516560"/>
    <w:rsid w:val="005167A3"/>
    <w:rsid w:val="005169AD"/>
    <w:rsid w:val="00516BB9"/>
    <w:rsid w:val="0051726E"/>
    <w:rsid w:val="005175C9"/>
    <w:rsid w:val="005179EA"/>
    <w:rsid w:val="00517EAC"/>
    <w:rsid w:val="00520144"/>
    <w:rsid w:val="005201BD"/>
    <w:rsid w:val="00520319"/>
    <w:rsid w:val="005208B9"/>
    <w:rsid w:val="00520A31"/>
    <w:rsid w:val="00521B6D"/>
    <w:rsid w:val="00521CCC"/>
    <w:rsid w:val="00521DE0"/>
    <w:rsid w:val="005221F0"/>
    <w:rsid w:val="0052231F"/>
    <w:rsid w:val="00522417"/>
    <w:rsid w:val="005229AA"/>
    <w:rsid w:val="00522B65"/>
    <w:rsid w:val="0052344F"/>
    <w:rsid w:val="00523757"/>
    <w:rsid w:val="005240A8"/>
    <w:rsid w:val="005245DC"/>
    <w:rsid w:val="00524747"/>
    <w:rsid w:val="005247FF"/>
    <w:rsid w:val="00524807"/>
    <w:rsid w:val="00524BDA"/>
    <w:rsid w:val="005252FE"/>
    <w:rsid w:val="005257A1"/>
    <w:rsid w:val="005259E8"/>
    <w:rsid w:val="00525B87"/>
    <w:rsid w:val="00525BAA"/>
    <w:rsid w:val="00525FF9"/>
    <w:rsid w:val="00526049"/>
    <w:rsid w:val="00526DD2"/>
    <w:rsid w:val="0052722E"/>
    <w:rsid w:val="005272FA"/>
    <w:rsid w:val="005275BA"/>
    <w:rsid w:val="00530020"/>
    <w:rsid w:val="005305BC"/>
    <w:rsid w:val="00530A5F"/>
    <w:rsid w:val="00531032"/>
    <w:rsid w:val="0053113E"/>
    <w:rsid w:val="00531323"/>
    <w:rsid w:val="005319B0"/>
    <w:rsid w:val="00531C79"/>
    <w:rsid w:val="00532567"/>
    <w:rsid w:val="0053262D"/>
    <w:rsid w:val="0053265B"/>
    <w:rsid w:val="005327F5"/>
    <w:rsid w:val="00532B95"/>
    <w:rsid w:val="00532C41"/>
    <w:rsid w:val="00532D3F"/>
    <w:rsid w:val="005330E7"/>
    <w:rsid w:val="0053318E"/>
    <w:rsid w:val="0053320A"/>
    <w:rsid w:val="00533559"/>
    <w:rsid w:val="00533652"/>
    <w:rsid w:val="005337AC"/>
    <w:rsid w:val="0053386D"/>
    <w:rsid w:val="005339FB"/>
    <w:rsid w:val="00533AFB"/>
    <w:rsid w:val="00533B06"/>
    <w:rsid w:val="00533D10"/>
    <w:rsid w:val="00533E21"/>
    <w:rsid w:val="005342F6"/>
    <w:rsid w:val="00534700"/>
    <w:rsid w:val="00534B3C"/>
    <w:rsid w:val="00534E6B"/>
    <w:rsid w:val="005350A1"/>
    <w:rsid w:val="00535D67"/>
    <w:rsid w:val="005360DC"/>
    <w:rsid w:val="005363B0"/>
    <w:rsid w:val="00536418"/>
    <w:rsid w:val="00536DFA"/>
    <w:rsid w:val="00536E77"/>
    <w:rsid w:val="0053701A"/>
    <w:rsid w:val="005375DA"/>
    <w:rsid w:val="0053791F"/>
    <w:rsid w:val="005379F3"/>
    <w:rsid w:val="00537B80"/>
    <w:rsid w:val="00540203"/>
    <w:rsid w:val="0054053C"/>
    <w:rsid w:val="0054082D"/>
    <w:rsid w:val="00540A4C"/>
    <w:rsid w:val="005416E7"/>
    <w:rsid w:val="00541772"/>
    <w:rsid w:val="00541AE1"/>
    <w:rsid w:val="005423F9"/>
    <w:rsid w:val="005424C2"/>
    <w:rsid w:val="005424FC"/>
    <w:rsid w:val="00543526"/>
    <w:rsid w:val="00543895"/>
    <w:rsid w:val="00543B23"/>
    <w:rsid w:val="00543B9B"/>
    <w:rsid w:val="005448F7"/>
    <w:rsid w:val="005449FD"/>
    <w:rsid w:val="00544CCA"/>
    <w:rsid w:val="00544DAE"/>
    <w:rsid w:val="00544E43"/>
    <w:rsid w:val="00544F64"/>
    <w:rsid w:val="005453B0"/>
    <w:rsid w:val="00545968"/>
    <w:rsid w:val="00545A28"/>
    <w:rsid w:val="00545A56"/>
    <w:rsid w:val="00545B74"/>
    <w:rsid w:val="00546451"/>
    <w:rsid w:val="00546622"/>
    <w:rsid w:val="0054692E"/>
    <w:rsid w:val="00546AE9"/>
    <w:rsid w:val="00546D7C"/>
    <w:rsid w:val="00546E03"/>
    <w:rsid w:val="00547538"/>
    <w:rsid w:val="00547715"/>
    <w:rsid w:val="00547928"/>
    <w:rsid w:val="00547BE6"/>
    <w:rsid w:val="00547D16"/>
    <w:rsid w:val="00547D9F"/>
    <w:rsid w:val="00547F4B"/>
    <w:rsid w:val="0055052B"/>
    <w:rsid w:val="0055061A"/>
    <w:rsid w:val="005508AD"/>
    <w:rsid w:val="005508B8"/>
    <w:rsid w:val="00550E44"/>
    <w:rsid w:val="00552479"/>
    <w:rsid w:val="00552BB5"/>
    <w:rsid w:val="00552F1C"/>
    <w:rsid w:val="005537A9"/>
    <w:rsid w:val="005539D4"/>
    <w:rsid w:val="00553BFA"/>
    <w:rsid w:val="005547AA"/>
    <w:rsid w:val="00554D05"/>
    <w:rsid w:val="005551EE"/>
    <w:rsid w:val="0055596B"/>
    <w:rsid w:val="00555A08"/>
    <w:rsid w:val="005561B0"/>
    <w:rsid w:val="005561C9"/>
    <w:rsid w:val="005563E1"/>
    <w:rsid w:val="0055685E"/>
    <w:rsid w:val="00556B70"/>
    <w:rsid w:val="00556ECC"/>
    <w:rsid w:val="005573FB"/>
    <w:rsid w:val="005574AA"/>
    <w:rsid w:val="00557AB1"/>
    <w:rsid w:val="00557C81"/>
    <w:rsid w:val="0056012D"/>
    <w:rsid w:val="0056077E"/>
    <w:rsid w:val="00560967"/>
    <w:rsid w:val="00560B4E"/>
    <w:rsid w:val="00560C66"/>
    <w:rsid w:val="00560D31"/>
    <w:rsid w:val="00560EDA"/>
    <w:rsid w:val="0056117F"/>
    <w:rsid w:val="005611AF"/>
    <w:rsid w:val="00561B1A"/>
    <w:rsid w:val="00562726"/>
    <w:rsid w:val="00562792"/>
    <w:rsid w:val="005629EE"/>
    <w:rsid w:val="00562C3F"/>
    <w:rsid w:val="0056306F"/>
    <w:rsid w:val="00563141"/>
    <w:rsid w:val="00563B39"/>
    <w:rsid w:val="00563CD8"/>
    <w:rsid w:val="0056467A"/>
    <w:rsid w:val="005648FA"/>
    <w:rsid w:val="00564D50"/>
    <w:rsid w:val="00565881"/>
    <w:rsid w:val="00565F25"/>
    <w:rsid w:val="00566A8A"/>
    <w:rsid w:val="00567300"/>
    <w:rsid w:val="00567346"/>
    <w:rsid w:val="0057055F"/>
    <w:rsid w:val="00570F83"/>
    <w:rsid w:val="0057154B"/>
    <w:rsid w:val="0057183C"/>
    <w:rsid w:val="00571AC8"/>
    <w:rsid w:val="00571C5B"/>
    <w:rsid w:val="00571D5E"/>
    <w:rsid w:val="0057371B"/>
    <w:rsid w:val="005739C2"/>
    <w:rsid w:val="00574705"/>
    <w:rsid w:val="00574839"/>
    <w:rsid w:val="00574880"/>
    <w:rsid w:val="005751FD"/>
    <w:rsid w:val="0057541D"/>
    <w:rsid w:val="005754EF"/>
    <w:rsid w:val="00575597"/>
    <w:rsid w:val="00575DCA"/>
    <w:rsid w:val="00575EB8"/>
    <w:rsid w:val="0057613A"/>
    <w:rsid w:val="00576421"/>
    <w:rsid w:val="00576A1A"/>
    <w:rsid w:val="00576C80"/>
    <w:rsid w:val="00576DEE"/>
    <w:rsid w:val="00577D2A"/>
    <w:rsid w:val="00577E7C"/>
    <w:rsid w:val="005808C7"/>
    <w:rsid w:val="00580ADC"/>
    <w:rsid w:val="00581173"/>
    <w:rsid w:val="005811B9"/>
    <w:rsid w:val="005818B0"/>
    <w:rsid w:val="005818E0"/>
    <w:rsid w:val="005819BF"/>
    <w:rsid w:val="005819EE"/>
    <w:rsid w:val="00581ACF"/>
    <w:rsid w:val="0058240F"/>
    <w:rsid w:val="00582A9B"/>
    <w:rsid w:val="00582D22"/>
    <w:rsid w:val="005832AB"/>
    <w:rsid w:val="00583797"/>
    <w:rsid w:val="005839F4"/>
    <w:rsid w:val="00583E76"/>
    <w:rsid w:val="0058417D"/>
    <w:rsid w:val="00584316"/>
    <w:rsid w:val="0058437C"/>
    <w:rsid w:val="005858EE"/>
    <w:rsid w:val="00585D47"/>
    <w:rsid w:val="00585E7A"/>
    <w:rsid w:val="005860C9"/>
    <w:rsid w:val="005864D2"/>
    <w:rsid w:val="005872BC"/>
    <w:rsid w:val="00587C6F"/>
    <w:rsid w:val="00587C89"/>
    <w:rsid w:val="005902B6"/>
    <w:rsid w:val="0059055C"/>
    <w:rsid w:val="0059078F"/>
    <w:rsid w:val="00590C96"/>
    <w:rsid w:val="00590FB1"/>
    <w:rsid w:val="005917CB"/>
    <w:rsid w:val="00591FCF"/>
    <w:rsid w:val="00592219"/>
    <w:rsid w:val="00592366"/>
    <w:rsid w:val="0059245B"/>
    <w:rsid w:val="005925CF"/>
    <w:rsid w:val="0059319F"/>
    <w:rsid w:val="005935F4"/>
    <w:rsid w:val="0059385C"/>
    <w:rsid w:val="00593E0A"/>
    <w:rsid w:val="00593F84"/>
    <w:rsid w:val="0059401B"/>
    <w:rsid w:val="0059470D"/>
    <w:rsid w:val="00594738"/>
    <w:rsid w:val="0059487E"/>
    <w:rsid w:val="005949AD"/>
    <w:rsid w:val="00595109"/>
    <w:rsid w:val="00595880"/>
    <w:rsid w:val="00595FF9"/>
    <w:rsid w:val="0059603D"/>
    <w:rsid w:val="00596923"/>
    <w:rsid w:val="00596AAA"/>
    <w:rsid w:val="00596CF3"/>
    <w:rsid w:val="005971B0"/>
    <w:rsid w:val="00597536"/>
    <w:rsid w:val="00597570"/>
    <w:rsid w:val="005A0287"/>
    <w:rsid w:val="005A03DC"/>
    <w:rsid w:val="005A04C3"/>
    <w:rsid w:val="005A062D"/>
    <w:rsid w:val="005A06BE"/>
    <w:rsid w:val="005A092A"/>
    <w:rsid w:val="005A0C10"/>
    <w:rsid w:val="005A0C7D"/>
    <w:rsid w:val="005A0C9F"/>
    <w:rsid w:val="005A0D0F"/>
    <w:rsid w:val="005A0E6B"/>
    <w:rsid w:val="005A1288"/>
    <w:rsid w:val="005A167F"/>
    <w:rsid w:val="005A1B55"/>
    <w:rsid w:val="005A2172"/>
    <w:rsid w:val="005A2D5A"/>
    <w:rsid w:val="005A322F"/>
    <w:rsid w:val="005A3399"/>
    <w:rsid w:val="005A346E"/>
    <w:rsid w:val="005A3674"/>
    <w:rsid w:val="005A37C0"/>
    <w:rsid w:val="005A3D7E"/>
    <w:rsid w:val="005A4079"/>
    <w:rsid w:val="005A40BD"/>
    <w:rsid w:val="005A418B"/>
    <w:rsid w:val="005A42D0"/>
    <w:rsid w:val="005A4497"/>
    <w:rsid w:val="005A48EF"/>
    <w:rsid w:val="005A4B23"/>
    <w:rsid w:val="005A4F05"/>
    <w:rsid w:val="005A4FFC"/>
    <w:rsid w:val="005A55F3"/>
    <w:rsid w:val="005A58FE"/>
    <w:rsid w:val="005A5956"/>
    <w:rsid w:val="005A667D"/>
    <w:rsid w:val="005A684B"/>
    <w:rsid w:val="005A69D9"/>
    <w:rsid w:val="005A6A76"/>
    <w:rsid w:val="005A7273"/>
    <w:rsid w:val="005A73CF"/>
    <w:rsid w:val="005A773C"/>
    <w:rsid w:val="005A7817"/>
    <w:rsid w:val="005A7849"/>
    <w:rsid w:val="005A786D"/>
    <w:rsid w:val="005A7ED0"/>
    <w:rsid w:val="005B014C"/>
    <w:rsid w:val="005B017E"/>
    <w:rsid w:val="005B0596"/>
    <w:rsid w:val="005B096F"/>
    <w:rsid w:val="005B0BD7"/>
    <w:rsid w:val="005B0CAB"/>
    <w:rsid w:val="005B0FBF"/>
    <w:rsid w:val="005B1326"/>
    <w:rsid w:val="005B1396"/>
    <w:rsid w:val="005B16CC"/>
    <w:rsid w:val="005B2009"/>
    <w:rsid w:val="005B20A5"/>
    <w:rsid w:val="005B2B77"/>
    <w:rsid w:val="005B2BF3"/>
    <w:rsid w:val="005B3031"/>
    <w:rsid w:val="005B34D9"/>
    <w:rsid w:val="005B3EB1"/>
    <w:rsid w:val="005B3F6F"/>
    <w:rsid w:val="005B4113"/>
    <w:rsid w:val="005B45B4"/>
    <w:rsid w:val="005B4A40"/>
    <w:rsid w:val="005B4C6D"/>
    <w:rsid w:val="005B4E42"/>
    <w:rsid w:val="005B5077"/>
    <w:rsid w:val="005B5162"/>
    <w:rsid w:val="005B5690"/>
    <w:rsid w:val="005B5C42"/>
    <w:rsid w:val="005B67D0"/>
    <w:rsid w:val="005B6A71"/>
    <w:rsid w:val="005B714E"/>
    <w:rsid w:val="005B7411"/>
    <w:rsid w:val="005B7413"/>
    <w:rsid w:val="005B75E5"/>
    <w:rsid w:val="005B798B"/>
    <w:rsid w:val="005B79B8"/>
    <w:rsid w:val="005B7CA0"/>
    <w:rsid w:val="005B7D19"/>
    <w:rsid w:val="005B7E32"/>
    <w:rsid w:val="005C03A3"/>
    <w:rsid w:val="005C086E"/>
    <w:rsid w:val="005C0D0A"/>
    <w:rsid w:val="005C0FD1"/>
    <w:rsid w:val="005C1058"/>
    <w:rsid w:val="005C10CD"/>
    <w:rsid w:val="005C181B"/>
    <w:rsid w:val="005C1BF9"/>
    <w:rsid w:val="005C1D36"/>
    <w:rsid w:val="005C1DEF"/>
    <w:rsid w:val="005C1FAE"/>
    <w:rsid w:val="005C261D"/>
    <w:rsid w:val="005C2630"/>
    <w:rsid w:val="005C2C93"/>
    <w:rsid w:val="005C2D53"/>
    <w:rsid w:val="005C2E5C"/>
    <w:rsid w:val="005C2FDC"/>
    <w:rsid w:val="005C35AF"/>
    <w:rsid w:val="005C39E8"/>
    <w:rsid w:val="005C441D"/>
    <w:rsid w:val="005C4550"/>
    <w:rsid w:val="005C4825"/>
    <w:rsid w:val="005C4DD9"/>
    <w:rsid w:val="005C4F82"/>
    <w:rsid w:val="005C5660"/>
    <w:rsid w:val="005C5A97"/>
    <w:rsid w:val="005C5E3C"/>
    <w:rsid w:val="005C62B8"/>
    <w:rsid w:val="005C6601"/>
    <w:rsid w:val="005C71E4"/>
    <w:rsid w:val="005C72E3"/>
    <w:rsid w:val="005D02ED"/>
    <w:rsid w:val="005D03C7"/>
    <w:rsid w:val="005D090D"/>
    <w:rsid w:val="005D090E"/>
    <w:rsid w:val="005D11B2"/>
    <w:rsid w:val="005D1AD7"/>
    <w:rsid w:val="005D1BA4"/>
    <w:rsid w:val="005D2FA2"/>
    <w:rsid w:val="005D3A38"/>
    <w:rsid w:val="005D3EA0"/>
    <w:rsid w:val="005D3F0C"/>
    <w:rsid w:val="005D404D"/>
    <w:rsid w:val="005D409D"/>
    <w:rsid w:val="005D44A6"/>
    <w:rsid w:val="005D4633"/>
    <w:rsid w:val="005D4B68"/>
    <w:rsid w:val="005D4EB0"/>
    <w:rsid w:val="005D4F46"/>
    <w:rsid w:val="005D539D"/>
    <w:rsid w:val="005D5428"/>
    <w:rsid w:val="005D56C1"/>
    <w:rsid w:val="005D5B4E"/>
    <w:rsid w:val="005D5EEE"/>
    <w:rsid w:val="005D5F37"/>
    <w:rsid w:val="005D6324"/>
    <w:rsid w:val="005D6623"/>
    <w:rsid w:val="005D6689"/>
    <w:rsid w:val="005D694B"/>
    <w:rsid w:val="005D72DE"/>
    <w:rsid w:val="005D734B"/>
    <w:rsid w:val="005D73D8"/>
    <w:rsid w:val="005D7FC2"/>
    <w:rsid w:val="005E06B2"/>
    <w:rsid w:val="005E0760"/>
    <w:rsid w:val="005E10A0"/>
    <w:rsid w:val="005E10A6"/>
    <w:rsid w:val="005E1130"/>
    <w:rsid w:val="005E11C1"/>
    <w:rsid w:val="005E1219"/>
    <w:rsid w:val="005E147D"/>
    <w:rsid w:val="005E184D"/>
    <w:rsid w:val="005E1C1A"/>
    <w:rsid w:val="005E1E37"/>
    <w:rsid w:val="005E2563"/>
    <w:rsid w:val="005E2955"/>
    <w:rsid w:val="005E2F34"/>
    <w:rsid w:val="005E32FF"/>
    <w:rsid w:val="005E35C2"/>
    <w:rsid w:val="005E378F"/>
    <w:rsid w:val="005E394C"/>
    <w:rsid w:val="005E3FC9"/>
    <w:rsid w:val="005E41FD"/>
    <w:rsid w:val="005E42BF"/>
    <w:rsid w:val="005E439B"/>
    <w:rsid w:val="005E4503"/>
    <w:rsid w:val="005E4537"/>
    <w:rsid w:val="005E4E70"/>
    <w:rsid w:val="005E5053"/>
    <w:rsid w:val="005E5182"/>
    <w:rsid w:val="005E52CC"/>
    <w:rsid w:val="005E52D0"/>
    <w:rsid w:val="005E5C0A"/>
    <w:rsid w:val="005E64DB"/>
    <w:rsid w:val="005E65BB"/>
    <w:rsid w:val="005E7567"/>
    <w:rsid w:val="005E7781"/>
    <w:rsid w:val="005E7D37"/>
    <w:rsid w:val="005E7E55"/>
    <w:rsid w:val="005E7F13"/>
    <w:rsid w:val="005F0034"/>
    <w:rsid w:val="005F0447"/>
    <w:rsid w:val="005F0623"/>
    <w:rsid w:val="005F0DA0"/>
    <w:rsid w:val="005F0F03"/>
    <w:rsid w:val="005F1821"/>
    <w:rsid w:val="005F1D53"/>
    <w:rsid w:val="005F1EE5"/>
    <w:rsid w:val="005F1F13"/>
    <w:rsid w:val="005F21E9"/>
    <w:rsid w:val="005F2767"/>
    <w:rsid w:val="005F28A6"/>
    <w:rsid w:val="005F2A6B"/>
    <w:rsid w:val="005F2A92"/>
    <w:rsid w:val="005F30CC"/>
    <w:rsid w:val="005F34CB"/>
    <w:rsid w:val="005F35FB"/>
    <w:rsid w:val="005F36AB"/>
    <w:rsid w:val="005F36C7"/>
    <w:rsid w:val="005F3745"/>
    <w:rsid w:val="005F38EB"/>
    <w:rsid w:val="005F3E7E"/>
    <w:rsid w:val="005F419B"/>
    <w:rsid w:val="005F4237"/>
    <w:rsid w:val="005F4790"/>
    <w:rsid w:val="005F4914"/>
    <w:rsid w:val="005F5520"/>
    <w:rsid w:val="005F5679"/>
    <w:rsid w:val="005F5A9F"/>
    <w:rsid w:val="005F5E7A"/>
    <w:rsid w:val="005F5EB3"/>
    <w:rsid w:val="005F6104"/>
    <w:rsid w:val="005F62B7"/>
    <w:rsid w:val="005F6762"/>
    <w:rsid w:val="005F67FC"/>
    <w:rsid w:val="005F6869"/>
    <w:rsid w:val="005F68D0"/>
    <w:rsid w:val="005F6BB9"/>
    <w:rsid w:val="005F6C09"/>
    <w:rsid w:val="005F6D9D"/>
    <w:rsid w:val="005F6DFD"/>
    <w:rsid w:val="005F7868"/>
    <w:rsid w:val="005F7AB1"/>
    <w:rsid w:val="006008DA"/>
    <w:rsid w:val="006009B7"/>
    <w:rsid w:val="00600B46"/>
    <w:rsid w:val="00600B82"/>
    <w:rsid w:val="00600E12"/>
    <w:rsid w:val="00601315"/>
    <w:rsid w:val="00601368"/>
    <w:rsid w:val="006015D3"/>
    <w:rsid w:val="00601605"/>
    <w:rsid w:val="00601877"/>
    <w:rsid w:val="00602338"/>
    <w:rsid w:val="00602612"/>
    <w:rsid w:val="00602AAC"/>
    <w:rsid w:val="00602C60"/>
    <w:rsid w:val="006030AB"/>
    <w:rsid w:val="00603139"/>
    <w:rsid w:val="00603148"/>
    <w:rsid w:val="00603393"/>
    <w:rsid w:val="00603444"/>
    <w:rsid w:val="00603519"/>
    <w:rsid w:val="0060389F"/>
    <w:rsid w:val="0060399C"/>
    <w:rsid w:val="00603FF8"/>
    <w:rsid w:val="00604030"/>
    <w:rsid w:val="0060442B"/>
    <w:rsid w:val="00605880"/>
    <w:rsid w:val="00605BF0"/>
    <w:rsid w:val="006062F6"/>
    <w:rsid w:val="00606303"/>
    <w:rsid w:val="00606BA7"/>
    <w:rsid w:val="00606F4F"/>
    <w:rsid w:val="00606FC7"/>
    <w:rsid w:val="00607221"/>
    <w:rsid w:val="0060741B"/>
    <w:rsid w:val="006074A2"/>
    <w:rsid w:val="00607AB9"/>
    <w:rsid w:val="0061015A"/>
    <w:rsid w:val="00610456"/>
    <w:rsid w:val="00610A08"/>
    <w:rsid w:val="00610B44"/>
    <w:rsid w:val="00610EEC"/>
    <w:rsid w:val="0061116F"/>
    <w:rsid w:val="00611473"/>
    <w:rsid w:val="0061188C"/>
    <w:rsid w:val="00611B36"/>
    <w:rsid w:val="00611EA4"/>
    <w:rsid w:val="006124A2"/>
    <w:rsid w:val="006124F1"/>
    <w:rsid w:val="00612A31"/>
    <w:rsid w:val="00612B0E"/>
    <w:rsid w:val="0061334B"/>
    <w:rsid w:val="00613406"/>
    <w:rsid w:val="00613A34"/>
    <w:rsid w:val="00613B2B"/>
    <w:rsid w:val="00613B45"/>
    <w:rsid w:val="00613BE2"/>
    <w:rsid w:val="006143DD"/>
    <w:rsid w:val="0061476A"/>
    <w:rsid w:val="00614929"/>
    <w:rsid w:val="00615242"/>
    <w:rsid w:val="00615251"/>
    <w:rsid w:val="0061546F"/>
    <w:rsid w:val="00615531"/>
    <w:rsid w:val="00615ADA"/>
    <w:rsid w:val="00616158"/>
    <w:rsid w:val="00616920"/>
    <w:rsid w:val="00616993"/>
    <w:rsid w:val="00616B94"/>
    <w:rsid w:val="00616BC8"/>
    <w:rsid w:val="00616D16"/>
    <w:rsid w:val="00616DC5"/>
    <w:rsid w:val="006174F3"/>
    <w:rsid w:val="00617CCE"/>
    <w:rsid w:val="00617FEB"/>
    <w:rsid w:val="0062009F"/>
    <w:rsid w:val="006204D6"/>
    <w:rsid w:val="00620694"/>
    <w:rsid w:val="006206F5"/>
    <w:rsid w:val="00620F80"/>
    <w:rsid w:val="00621322"/>
    <w:rsid w:val="00621B3B"/>
    <w:rsid w:val="00621CE0"/>
    <w:rsid w:val="00621D07"/>
    <w:rsid w:val="00621FC5"/>
    <w:rsid w:val="006221CD"/>
    <w:rsid w:val="00622220"/>
    <w:rsid w:val="0062277A"/>
    <w:rsid w:val="00622926"/>
    <w:rsid w:val="006229B7"/>
    <w:rsid w:val="00622B70"/>
    <w:rsid w:val="00622FE1"/>
    <w:rsid w:val="006231A3"/>
    <w:rsid w:val="00623306"/>
    <w:rsid w:val="00623351"/>
    <w:rsid w:val="006238BC"/>
    <w:rsid w:val="00623952"/>
    <w:rsid w:val="006239D0"/>
    <w:rsid w:val="00623BA9"/>
    <w:rsid w:val="006242ED"/>
    <w:rsid w:val="00624600"/>
    <w:rsid w:val="0062464D"/>
    <w:rsid w:val="00624CFA"/>
    <w:rsid w:val="00624FF6"/>
    <w:rsid w:val="00625974"/>
    <w:rsid w:val="0062600A"/>
    <w:rsid w:val="006263C9"/>
    <w:rsid w:val="00626452"/>
    <w:rsid w:val="006266A9"/>
    <w:rsid w:val="00626865"/>
    <w:rsid w:val="0062722F"/>
    <w:rsid w:val="0062724E"/>
    <w:rsid w:val="00627ADB"/>
    <w:rsid w:val="00627B2F"/>
    <w:rsid w:val="00627C2B"/>
    <w:rsid w:val="00627F23"/>
    <w:rsid w:val="006303E0"/>
    <w:rsid w:val="00630426"/>
    <w:rsid w:val="00630440"/>
    <w:rsid w:val="0063069E"/>
    <w:rsid w:val="00631172"/>
    <w:rsid w:val="00631228"/>
    <w:rsid w:val="0063131A"/>
    <w:rsid w:val="006316C1"/>
    <w:rsid w:val="00631ED4"/>
    <w:rsid w:val="00631FB5"/>
    <w:rsid w:val="006322F4"/>
    <w:rsid w:val="00632D62"/>
    <w:rsid w:val="00633324"/>
    <w:rsid w:val="00633A04"/>
    <w:rsid w:val="00633BC7"/>
    <w:rsid w:val="006341FC"/>
    <w:rsid w:val="00634A38"/>
    <w:rsid w:val="00635296"/>
    <w:rsid w:val="00635424"/>
    <w:rsid w:val="006354E8"/>
    <w:rsid w:val="0063570C"/>
    <w:rsid w:val="00635855"/>
    <w:rsid w:val="00635902"/>
    <w:rsid w:val="00635AC7"/>
    <w:rsid w:val="00635E9C"/>
    <w:rsid w:val="00635EC3"/>
    <w:rsid w:val="0063626A"/>
    <w:rsid w:val="006364B9"/>
    <w:rsid w:val="00636721"/>
    <w:rsid w:val="00636AE2"/>
    <w:rsid w:val="00636B1A"/>
    <w:rsid w:val="00636B61"/>
    <w:rsid w:val="0063753F"/>
    <w:rsid w:val="00637B40"/>
    <w:rsid w:val="00637B41"/>
    <w:rsid w:val="00637D41"/>
    <w:rsid w:val="0064006B"/>
    <w:rsid w:val="0064040C"/>
    <w:rsid w:val="006404CA"/>
    <w:rsid w:val="00640587"/>
    <w:rsid w:val="00640E38"/>
    <w:rsid w:val="0064111E"/>
    <w:rsid w:val="006414EE"/>
    <w:rsid w:val="006419EC"/>
    <w:rsid w:val="00642524"/>
    <w:rsid w:val="0064286C"/>
    <w:rsid w:val="0064298E"/>
    <w:rsid w:val="00642B6E"/>
    <w:rsid w:val="00642C50"/>
    <w:rsid w:val="00642D0A"/>
    <w:rsid w:val="00642E07"/>
    <w:rsid w:val="00642EE6"/>
    <w:rsid w:val="00643091"/>
    <w:rsid w:val="0064345A"/>
    <w:rsid w:val="006436E9"/>
    <w:rsid w:val="00643B17"/>
    <w:rsid w:val="00643F18"/>
    <w:rsid w:val="0064408B"/>
    <w:rsid w:val="006440DD"/>
    <w:rsid w:val="00644537"/>
    <w:rsid w:val="00644A8E"/>
    <w:rsid w:val="00644ABD"/>
    <w:rsid w:val="00644C11"/>
    <w:rsid w:val="00644C19"/>
    <w:rsid w:val="00645296"/>
    <w:rsid w:val="00645440"/>
    <w:rsid w:val="00645732"/>
    <w:rsid w:val="006458E1"/>
    <w:rsid w:val="00645914"/>
    <w:rsid w:val="0064598B"/>
    <w:rsid w:val="00645B6B"/>
    <w:rsid w:val="00645D7F"/>
    <w:rsid w:val="00646183"/>
    <w:rsid w:val="0064629C"/>
    <w:rsid w:val="0064630E"/>
    <w:rsid w:val="00646633"/>
    <w:rsid w:val="0064666C"/>
    <w:rsid w:val="0064694D"/>
    <w:rsid w:val="00646ED2"/>
    <w:rsid w:val="00646FE1"/>
    <w:rsid w:val="00647075"/>
    <w:rsid w:val="00647FD9"/>
    <w:rsid w:val="006502B0"/>
    <w:rsid w:val="00650950"/>
    <w:rsid w:val="0065098E"/>
    <w:rsid w:val="00650AE0"/>
    <w:rsid w:val="00650B3E"/>
    <w:rsid w:val="00650B40"/>
    <w:rsid w:val="00650D68"/>
    <w:rsid w:val="00651971"/>
    <w:rsid w:val="00651D18"/>
    <w:rsid w:val="00651E56"/>
    <w:rsid w:val="00653016"/>
    <w:rsid w:val="00653552"/>
    <w:rsid w:val="006538F1"/>
    <w:rsid w:val="00654773"/>
    <w:rsid w:val="00654841"/>
    <w:rsid w:val="00654D24"/>
    <w:rsid w:val="006550D9"/>
    <w:rsid w:val="006551CD"/>
    <w:rsid w:val="006556BC"/>
    <w:rsid w:val="0065581D"/>
    <w:rsid w:val="0065592C"/>
    <w:rsid w:val="00655C15"/>
    <w:rsid w:val="00655C2F"/>
    <w:rsid w:val="00655D08"/>
    <w:rsid w:val="00655E33"/>
    <w:rsid w:val="0065600F"/>
    <w:rsid w:val="006561F3"/>
    <w:rsid w:val="00656A90"/>
    <w:rsid w:val="00656CF7"/>
    <w:rsid w:val="00656F18"/>
    <w:rsid w:val="00656F47"/>
    <w:rsid w:val="00657123"/>
    <w:rsid w:val="00657839"/>
    <w:rsid w:val="006579F0"/>
    <w:rsid w:val="00657A7F"/>
    <w:rsid w:val="00657AE6"/>
    <w:rsid w:val="00657BC4"/>
    <w:rsid w:val="00657C0F"/>
    <w:rsid w:val="00657C89"/>
    <w:rsid w:val="00657DEA"/>
    <w:rsid w:val="00660053"/>
    <w:rsid w:val="00660071"/>
    <w:rsid w:val="00660403"/>
    <w:rsid w:val="0066053E"/>
    <w:rsid w:val="00660855"/>
    <w:rsid w:val="00660A1C"/>
    <w:rsid w:val="00660AEB"/>
    <w:rsid w:val="00660B7D"/>
    <w:rsid w:val="00660F31"/>
    <w:rsid w:val="00661140"/>
    <w:rsid w:val="006611B9"/>
    <w:rsid w:val="00661C5A"/>
    <w:rsid w:val="00661CE1"/>
    <w:rsid w:val="0066230A"/>
    <w:rsid w:val="006624E3"/>
    <w:rsid w:val="0066313B"/>
    <w:rsid w:val="00663148"/>
    <w:rsid w:val="006633A2"/>
    <w:rsid w:val="006636D7"/>
    <w:rsid w:val="00663809"/>
    <w:rsid w:val="0066390F"/>
    <w:rsid w:val="00663C1E"/>
    <w:rsid w:val="006641A7"/>
    <w:rsid w:val="006642FD"/>
    <w:rsid w:val="00664788"/>
    <w:rsid w:val="0066498F"/>
    <w:rsid w:val="006650C2"/>
    <w:rsid w:val="00665647"/>
    <w:rsid w:val="006657E6"/>
    <w:rsid w:val="00665AED"/>
    <w:rsid w:val="00665B29"/>
    <w:rsid w:val="00665E61"/>
    <w:rsid w:val="00665FA0"/>
    <w:rsid w:val="006660FD"/>
    <w:rsid w:val="00666173"/>
    <w:rsid w:val="006662BD"/>
    <w:rsid w:val="00666398"/>
    <w:rsid w:val="006663FE"/>
    <w:rsid w:val="00666459"/>
    <w:rsid w:val="006668CA"/>
    <w:rsid w:val="00666FEB"/>
    <w:rsid w:val="00667237"/>
    <w:rsid w:val="00667294"/>
    <w:rsid w:val="00667CFF"/>
    <w:rsid w:val="00667D20"/>
    <w:rsid w:val="00667FCD"/>
    <w:rsid w:val="006702EC"/>
    <w:rsid w:val="00670810"/>
    <w:rsid w:val="00670973"/>
    <w:rsid w:val="00670C8F"/>
    <w:rsid w:val="006710DD"/>
    <w:rsid w:val="006712C2"/>
    <w:rsid w:val="00671FC9"/>
    <w:rsid w:val="006723F4"/>
    <w:rsid w:val="00672F4C"/>
    <w:rsid w:val="00673200"/>
    <w:rsid w:val="006733DB"/>
    <w:rsid w:val="00673B5E"/>
    <w:rsid w:val="00673BEB"/>
    <w:rsid w:val="00673CED"/>
    <w:rsid w:val="00673D4A"/>
    <w:rsid w:val="00674175"/>
    <w:rsid w:val="006742D5"/>
    <w:rsid w:val="00674492"/>
    <w:rsid w:val="006747C2"/>
    <w:rsid w:val="00674940"/>
    <w:rsid w:val="0067497B"/>
    <w:rsid w:val="00674B57"/>
    <w:rsid w:val="00674D1B"/>
    <w:rsid w:val="0067501E"/>
    <w:rsid w:val="00675654"/>
    <w:rsid w:val="00675A29"/>
    <w:rsid w:val="00675AD7"/>
    <w:rsid w:val="00675E00"/>
    <w:rsid w:val="00675F62"/>
    <w:rsid w:val="00675F81"/>
    <w:rsid w:val="006767D5"/>
    <w:rsid w:val="006773D2"/>
    <w:rsid w:val="00677BC9"/>
    <w:rsid w:val="00680079"/>
    <w:rsid w:val="00680581"/>
    <w:rsid w:val="006805A2"/>
    <w:rsid w:val="0068065C"/>
    <w:rsid w:val="006806F8"/>
    <w:rsid w:val="00680A56"/>
    <w:rsid w:val="006814C0"/>
    <w:rsid w:val="00681575"/>
    <w:rsid w:val="006815E7"/>
    <w:rsid w:val="00681845"/>
    <w:rsid w:val="00681A41"/>
    <w:rsid w:val="00681B05"/>
    <w:rsid w:val="00681DC4"/>
    <w:rsid w:val="006821B2"/>
    <w:rsid w:val="0068253F"/>
    <w:rsid w:val="00682955"/>
    <w:rsid w:val="00682AD2"/>
    <w:rsid w:val="00683166"/>
    <w:rsid w:val="006831C2"/>
    <w:rsid w:val="006834F1"/>
    <w:rsid w:val="006838C0"/>
    <w:rsid w:val="00683A9E"/>
    <w:rsid w:val="006843EC"/>
    <w:rsid w:val="00684525"/>
    <w:rsid w:val="00684C15"/>
    <w:rsid w:val="00684D66"/>
    <w:rsid w:val="00685650"/>
    <w:rsid w:val="00685856"/>
    <w:rsid w:val="00685901"/>
    <w:rsid w:val="00685BB9"/>
    <w:rsid w:val="00685EA0"/>
    <w:rsid w:val="0068660F"/>
    <w:rsid w:val="00686771"/>
    <w:rsid w:val="00686794"/>
    <w:rsid w:val="00686856"/>
    <w:rsid w:val="00687133"/>
    <w:rsid w:val="00687297"/>
    <w:rsid w:val="0068746A"/>
    <w:rsid w:val="0068763F"/>
    <w:rsid w:val="00687747"/>
    <w:rsid w:val="006878A4"/>
    <w:rsid w:val="00687DC3"/>
    <w:rsid w:val="00687E06"/>
    <w:rsid w:val="00690127"/>
    <w:rsid w:val="0069023F"/>
    <w:rsid w:val="0069066D"/>
    <w:rsid w:val="006907CC"/>
    <w:rsid w:val="00690CB9"/>
    <w:rsid w:val="00690F20"/>
    <w:rsid w:val="00690F79"/>
    <w:rsid w:val="00691AE7"/>
    <w:rsid w:val="00691B13"/>
    <w:rsid w:val="00691BFF"/>
    <w:rsid w:val="00691EC2"/>
    <w:rsid w:val="0069203D"/>
    <w:rsid w:val="006926A1"/>
    <w:rsid w:val="00692B63"/>
    <w:rsid w:val="00692D9B"/>
    <w:rsid w:val="0069308F"/>
    <w:rsid w:val="006931F5"/>
    <w:rsid w:val="006932FC"/>
    <w:rsid w:val="00693745"/>
    <w:rsid w:val="00694142"/>
    <w:rsid w:val="0069443B"/>
    <w:rsid w:val="00694A82"/>
    <w:rsid w:val="00694EB9"/>
    <w:rsid w:val="0069530D"/>
    <w:rsid w:val="006953C1"/>
    <w:rsid w:val="00695865"/>
    <w:rsid w:val="006958AD"/>
    <w:rsid w:val="00695DD3"/>
    <w:rsid w:val="00696015"/>
    <w:rsid w:val="006965C1"/>
    <w:rsid w:val="00696DEA"/>
    <w:rsid w:val="00696EB2"/>
    <w:rsid w:val="0069715F"/>
    <w:rsid w:val="00697205"/>
    <w:rsid w:val="0069741A"/>
    <w:rsid w:val="00697505"/>
    <w:rsid w:val="00697600"/>
    <w:rsid w:val="00697AC1"/>
    <w:rsid w:val="00697DC0"/>
    <w:rsid w:val="006A01FA"/>
    <w:rsid w:val="006A043F"/>
    <w:rsid w:val="006A05A8"/>
    <w:rsid w:val="006A06F7"/>
    <w:rsid w:val="006A086E"/>
    <w:rsid w:val="006A0A1B"/>
    <w:rsid w:val="006A0DEA"/>
    <w:rsid w:val="006A0EA1"/>
    <w:rsid w:val="006A10F9"/>
    <w:rsid w:val="006A125B"/>
    <w:rsid w:val="006A15B4"/>
    <w:rsid w:val="006A16E9"/>
    <w:rsid w:val="006A1B15"/>
    <w:rsid w:val="006A1BE4"/>
    <w:rsid w:val="006A1C35"/>
    <w:rsid w:val="006A202C"/>
    <w:rsid w:val="006A237E"/>
    <w:rsid w:val="006A2799"/>
    <w:rsid w:val="006A2B54"/>
    <w:rsid w:val="006A2C74"/>
    <w:rsid w:val="006A2DED"/>
    <w:rsid w:val="006A300C"/>
    <w:rsid w:val="006A371F"/>
    <w:rsid w:val="006A3F1F"/>
    <w:rsid w:val="006A446A"/>
    <w:rsid w:val="006A483B"/>
    <w:rsid w:val="006A4AEC"/>
    <w:rsid w:val="006A5400"/>
    <w:rsid w:val="006A5450"/>
    <w:rsid w:val="006A5D82"/>
    <w:rsid w:val="006A5DD2"/>
    <w:rsid w:val="006A67CE"/>
    <w:rsid w:val="006A7C31"/>
    <w:rsid w:val="006B0199"/>
    <w:rsid w:val="006B022D"/>
    <w:rsid w:val="006B0972"/>
    <w:rsid w:val="006B0A32"/>
    <w:rsid w:val="006B0BD8"/>
    <w:rsid w:val="006B14C8"/>
    <w:rsid w:val="006B1D9F"/>
    <w:rsid w:val="006B1F06"/>
    <w:rsid w:val="006B20BC"/>
    <w:rsid w:val="006B217F"/>
    <w:rsid w:val="006B25DC"/>
    <w:rsid w:val="006B284E"/>
    <w:rsid w:val="006B288C"/>
    <w:rsid w:val="006B2C4A"/>
    <w:rsid w:val="006B395F"/>
    <w:rsid w:val="006B3A88"/>
    <w:rsid w:val="006B450D"/>
    <w:rsid w:val="006B4557"/>
    <w:rsid w:val="006B4787"/>
    <w:rsid w:val="006B5048"/>
    <w:rsid w:val="006B57D0"/>
    <w:rsid w:val="006B5955"/>
    <w:rsid w:val="006B6502"/>
    <w:rsid w:val="006B676B"/>
    <w:rsid w:val="006B6907"/>
    <w:rsid w:val="006B6943"/>
    <w:rsid w:val="006B6A12"/>
    <w:rsid w:val="006B6A88"/>
    <w:rsid w:val="006B7061"/>
    <w:rsid w:val="006B710D"/>
    <w:rsid w:val="006B71F4"/>
    <w:rsid w:val="006B7462"/>
    <w:rsid w:val="006B79A1"/>
    <w:rsid w:val="006B7A16"/>
    <w:rsid w:val="006B7A88"/>
    <w:rsid w:val="006C01DF"/>
    <w:rsid w:val="006C0251"/>
    <w:rsid w:val="006C0320"/>
    <w:rsid w:val="006C0490"/>
    <w:rsid w:val="006C05F2"/>
    <w:rsid w:val="006C09B0"/>
    <w:rsid w:val="006C0F3C"/>
    <w:rsid w:val="006C101B"/>
    <w:rsid w:val="006C163B"/>
    <w:rsid w:val="006C190D"/>
    <w:rsid w:val="006C19EB"/>
    <w:rsid w:val="006C1B5B"/>
    <w:rsid w:val="006C1E5F"/>
    <w:rsid w:val="006C1E97"/>
    <w:rsid w:val="006C1F23"/>
    <w:rsid w:val="006C26DE"/>
    <w:rsid w:val="006C2B9A"/>
    <w:rsid w:val="006C2BCE"/>
    <w:rsid w:val="006C2DA7"/>
    <w:rsid w:val="006C2E3F"/>
    <w:rsid w:val="006C33A3"/>
    <w:rsid w:val="006C36E1"/>
    <w:rsid w:val="006C39BB"/>
    <w:rsid w:val="006C3B20"/>
    <w:rsid w:val="006C3B48"/>
    <w:rsid w:val="006C3DED"/>
    <w:rsid w:val="006C3E81"/>
    <w:rsid w:val="006C4106"/>
    <w:rsid w:val="006C41BE"/>
    <w:rsid w:val="006C4502"/>
    <w:rsid w:val="006C475A"/>
    <w:rsid w:val="006C4A86"/>
    <w:rsid w:val="006C4F36"/>
    <w:rsid w:val="006C4FBD"/>
    <w:rsid w:val="006C537D"/>
    <w:rsid w:val="006C59A3"/>
    <w:rsid w:val="006C5FA1"/>
    <w:rsid w:val="006C5FF0"/>
    <w:rsid w:val="006C6114"/>
    <w:rsid w:val="006C655A"/>
    <w:rsid w:val="006C664C"/>
    <w:rsid w:val="006C66F9"/>
    <w:rsid w:val="006C6B75"/>
    <w:rsid w:val="006C7078"/>
    <w:rsid w:val="006C75F3"/>
    <w:rsid w:val="006C774B"/>
    <w:rsid w:val="006C7B8B"/>
    <w:rsid w:val="006D003F"/>
    <w:rsid w:val="006D0149"/>
    <w:rsid w:val="006D04F6"/>
    <w:rsid w:val="006D065F"/>
    <w:rsid w:val="006D066C"/>
    <w:rsid w:val="006D0691"/>
    <w:rsid w:val="006D0A1F"/>
    <w:rsid w:val="006D1274"/>
    <w:rsid w:val="006D1C4D"/>
    <w:rsid w:val="006D1CEC"/>
    <w:rsid w:val="006D2288"/>
    <w:rsid w:val="006D246B"/>
    <w:rsid w:val="006D267F"/>
    <w:rsid w:val="006D28E5"/>
    <w:rsid w:val="006D306A"/>
    <w:rsid w:val="006D3183"/>
    <w:rsid w:val="006D332E"/>
    <w:rsid w:val="006D33B7"/>
    <w:rsid w:val="006D35BC"/>
    <w:rsid w:val="006D35F8"/>
    <w:rsid w:val="006D3614"/>
    <w:rsid w:val="006D3786"/>
    <w:rsid w:val="006D3BD6"/>
    <w:rsid w:val="006D3CAC"/>
    <w:rsid w:val="006D3E68"/>
    <w:rsid w:val="006D4024"/>
    <w:rsid w:val="006D4464"/>
    <w:rsid w:val="006D46AC"/>
    <w:rsid w:val="006D47E9"/>
    <w:rsid w:val="006D49B1"/>
    <w:rsid w:val="006D4CA7"/>
    <w:rsid w:val="006D4E57"/>
    <w:rsid w:val="006D516B"/>
    <w:rsid w:val="006D5326"/>
    <w:rsid w:val="006D5BDB"/>
    <w:rsid w:val="006D5E91"/>
    <w:rsid w:val="006D61CD"/>
    <w:rsid w:val="006D6AC5"/>
    <w:rsid w:val="006D6B8F"/>
    <w:rsid w:val="006D6EFD"/>
    <w:rsid w:val="006D6F34"/>
    <w:rsid w:val="006D7308"/>
    <w:rsid w:val="006D761C"/>
    <w:rsid w:val="006D77B7"/>
    <w:rsid w:val="006D790B"/>
    <w:rsid w:val="006D7926"/>
    <w:rsid w:val="006D7CDF"/>
    <w:rsid w:val="006D7E87"/>
    <w:rsid w:val="006E00C6"/>
    <w:rsid w:val="006E01F8"/>
    <w:rsid w:val="006E0E6E"/>
    <w:rsid w:val="006E104C"/>
    <w:rsid w:val="006E10B0"/>
    <w:rsid w:val="006E12AF"/>
    <w:rsid w:val="006E14E6"/>
    <w:rsid w:val="006E1505"/>
    <w:rsid w:val="006E18FD"/>
    <w:rsid w:val="006E198C"/>
    <w:rsid w:val="006E1AEE"/>
    <w:rsid w:val="006E1B3F"/>
    <w:rsid w:val="006E2966"/>
    <w:rsid w:val="006E29BB"/>
    <w:rsid w:val="006E2F52"/>
    <w:rsid w:val="006E32A9"/>
    <w:rsid w:val="006E3367"/>
    <w:rsid w:val="006E3A22"/>
    <w:rsid w:val="006E3B9C"/>
    <w:rsid w:val="006E3F67"/>
    <w:rsid w:val="006E473C"/>
    <w:rsid w:val="006E4788"/>
    <w:rsid w:val="006E4820"/>
    <w:rsid w:val="006E50DB"/>
    <w:rsid w:val="006E51A2"/>
    <w:rsid w:val="006E5B01"/>
    <w:rsid w:val="006E5C88"/>
    <w:rsid w:val="006E5D0E"/>
    <w:rsid w:val="006E699E"/>
    <w:rsid w:val="006E6AED"/>
    <w:rsid w:val="006E7082"/>
    <w:rsid w:val="006E7409"/>
    <w:rsid w:val="006E7706"/>
    <w:rsid w:val="006E7724"/>
    <w:rsid w:val="006E777B"/>
    <w:rsid w:val="006E783E"/>
    <w:rsid w:val="006E7A55"/>
    <w:rsid w:val="006F0009"/>
    <w:rsid w:val="006F040F"/>
    <w:rsid w:val="006F0769"/>
    <w:rsid w:val="006F0908"/>
    <w:rsid w:val="006F09DA"/>
    <w:rsid w:val="006F0B2C"/>
    <w:rsid w:val="006F0DE2"/>
    <w:rsid w:val="006F0F82"/>
    <w:rsid w:val="006F11BD"/>
    <w:rsid w:val="006F1B50"/>
    <w:rsid w:val="006F2123"/>
    <w:rsid w:val="006F25B4"/>
    <w:rsid w:val="006F26E9"/>
    <w:rsid w:val="006F26EB"/>
    <w:rsid w:val="006F32C7"/>
    <w:rsid w:val="006F3392"/>
    <w:rsid w:val="006F3495"/>
    <w:rsid w:val="006F358D"/>
    <w:rsid w:val="006F3AF9"/>
    <w:rsid w:val="006F3DF5"/>
    <w:rsid w:val="006F3F8F"/>
    <w:rsid w:val="006F4152"/>
    <w:rsid w:val="006F417D"/>
    <w:rsid w:val="006F452E"/>
    <w:rsid w:val="006F460B"/>
    <w:rsid w:val="006F5C83"/>
    <w:rsid w:val="006F5D91"/>
    <w:rsid w:val="006F5E3E"/>
    <w:rsid w:val="006F5FF6"/>
    <w:rsid w:val="006F6362"/>
    <w:rsid w:val="006F6364"/>
    <w:rsid w:val="006F65F0"/>
    <w:rsid w:val="006F6604"/>
    <w:rsid w:val="006F6741"/>
    <w:rsid w:val="006F67CC"/>
    <w:rsid w:val="006F67DE"/>
    <w:rsid w:val="006F68E3"/>
    <w:rsid w:val="006F6B89"/>
    <w:rsid w:val="006F6F7D"/>
    <w:rsid w:val="006F7407"/>
    <w:rsid w:val="006F7807"/>
    <w:rsid w:val="006F7B4B"/>
    <w:rsid w:val="007002F0"/>
    <w:rsid w:val="0070044E"/>
    <w:rsid w:val="00700A9E"/>
    <w:rsid w:val="0070164B"/>
    <w:rsid w:val="00701C2D"/>
    <w:rsid w:val="00701E2A"/>
    <w:rsid w:val="00701F86"/>
    <w:rsid w:val="00702162"/>
    <w:rsid w:val="007022B8"/>
    <w:rsid w:val="0070235E"/>
    <w:rsid w:val="0070264F"/>
    <w:rsid w:val="00702671"/>
    <w:rsid w:val="00702833"/>
    <w:rsid w:val="00702AA6"/>
    <w:rsid w:val="00703252"/>
    <w:rsid w:val="00703330"/>
    <w:rsid w:val="0070376E"/>
    <w:rsid w:val="00703902"/>
    <w:rsid w:val="00703930"/>
    <w:rsid w:val="00703A06"/>
    <w:rsid w:val="00703C0D"/>
    <w:rsid w:val="007041C8"/>
    <w:rsid w:val="00704C0E"/>
    <w:rsid w:val="007053E3"/>
    <w:rsid w:val="007057D8"/>
    <w:rsid w:val="00705852"/>
    <w:rsid w:val="00705E0A"/>
    <w:rsid w:val="007060F3"/>
    <w:rsid w:val="0070610E"/>
    <w:rsid w:val="00706146"/>
    <w:rsid w:val="0070647E"/>
    <w:rsid w:val="00706C97"/>
    <w:rsid w:val="007070B1"/>
    <w:rsid w:val="00707435"/>
    <w:rsid w:val="00707759"/>
    <w:rsid w:val="00707AC9"/>
    <w:rsid w:val="00707C1F"/>
    <w:rsid w:val="00707C64"/>
    <w:rsid w:val="00707CD2"/>
    <w:rsid w:val="00707ECC"/>
    <w:rsid w:val="0071003E"/>
    <w:rsid w:val="00710081"/>
    <w:rsid w:val="00710457"/>
    <w:rsid w:val="0071056D"/>
    <w:rsid w:val="0071079B"/>
    <w:rsid w:val="00710987"/>
    <w:rsid w:val="00710B0D"/>
    <w:rsid w:val="007110D9"/>
    <w:rsid w:val="00711C00"/>
    <w:rsid w:val="00711C7C"/>
    <w:rsid w:val="00711ED8"/>
    <w:rsid w:val="007121E6"/>
    <w:rsid w:val="00712841"/>
    <w:rsid w:val="00712B00"/>
    <w:rsid w:val="00712F40"/>
    <w:rsid w:val="00713052"/>
    <w:rsid w:val="00713500"/>
    <w:rsid w:val="00713531"/>
    <w:rsid w:val="0071381E"/>
    <w:rsid w:val="007139A2"/>
    <w:rsid w:val="00713A98"/>
    <w:rsid w:val="00713CB5"/>
    <w:rsid w:val="00713D69"/>
    <w:rsid w:val="00714554"/>
    <w:rsid w:val="00714B58"/>
    <w:rsid w:val="00714C98"/>
    <w:rsid w:val="00714E3F"/>
    <w:rsid w:val="00714FEA"/>
    <w:rsid w:val="00715566"/>
    <w:rsid w:val="0071558B"/>
    <w:rsid w:val="00715933"/>
    <w:rsid w:val="00715EDE"/>
    <w:rsid w:val="00716682"/>
    <w:rsid w:val="007168DA"/>
    <w:rsid w:val="007168EF"/>
    <w:rsid w:val="00716A31"/>
    <w:rsid w:val="00716D05"/>
    <w:rsid w:val="00716D66"/>
    <w:rsid w:val="00716DE2"/>
    <w:rsid w:val="00716E37"/>
    <w:rsid w:val="0071717D"/>
    <w:rsid w:val="007172F9"/>
    <w:rsid w:val="0071754F"/>
    <w:rsid w:val="007176FE"/>
    <w:rsid w:val="0071776A"/>
    <w:rsid w:val="00717E30"/>
    <w:rsid w:val="007207AC"/>
    <w:rsid w:val="00720822"/>
    <w:rsid w:val="00720D1D"/>
    <w:rsid w:val="00720D6D"/>
    <w:rsid w:val="0072108E"/>
    <w:rsid w:val="00721189"/>
    <w:rsid w:val="00721918"/>
    <w:rsid w:val="00721C1A"/>
    <w:rsid w:val="007221C3"/>
    <w:rsid w:val="007221FF"/>
    <w:rsid w:val="00722366"/>
    <w:rsid w:val="00722435"/>
    <w:rsid w:val="007227E4"/>
    <w:rsid w:val="00722B05"/>
    <w:rsid w:val="00722B8E"/>
    <w:rsid w:val="00722F2C"/>
    <w:rsid w:val="00723351"/>
    <w:rsid w:val="007239C0"/>
    <w:rsid w:val="00723AF7"/>
    <w:rsid w:val="00723EE8"/>
    <w:rsid w:val="00724052"/>
    <w:rsid w:val="00724086"/>
    <w:rsid w:val="0072415F"/>
    <w:rsid w:val="00724363"/>
    <w:rsid w:val="007246FB"/>
    <w:rsid w:val="00724926"/>
    <w:rsid w:val="00725002"/>
    <w:rsid w:val="0072511E"/>
    <w:rsid w:val="0072544F"/>
    <w:rsid w:val="007254D1"/>
    <w:rsid w:val="00725798"/>
    <w:rsid w:val="007259F3"/>
    <w:rsid w:val="00725AAA"/>
    <w:rsid w:val="00725B32"/>
    <w:rsid w:val="00725B3C"/>
    <w:rsid w:val="0072601D"/>
    <w:rsid w:val="00726044"/>
    <w:rsid w:val="00726B42"/>
    <w:rsid w:val="007270D2"/>
    <w:rsid w:val="0072724C"/>
    <w:rsid w:val="007272B1"/>
    <w:rsid w:val="007275FC"/>
    <w:rsid w:val="00727E14"/>
    <w:rsid w:val="0073019B"/>
    <w:rsid w:val="007302E9"/>
    <w:rsid w:val="00730585"/>
    <w:rsid w:val="007307BC"/>
    <w:rsid w:val="00731507"/>
    <w:rsid w:val="0073164A"/>
    <w:rsid w:val="00731736"/>
    <w:rsid w:val="00731938"/>
    <w:rsid w:val="00731C58"/>
    <w:rsid w:val="00731DE8"/>
    <w:rsid w:val="007321B5"/>
    <w:rsid w:val="007328E6"/>
    <w:rsid w:val="00733227"/>
    <w:rsid w:val="007332B2"/>
    <w:rsid w:val="00733519"/>
    <w:rsid w:val="007338D4"/>
    <w:rsid w:val="00733BBA"/>
    <w:rsid w:val="00733BFB"/>
    <w:rsid w:val="00733D54"/>
    <w:rsid w:val="00733EAD"/>
    <w:rsid w:val="00733FA9"/>
    <w:rsid w:val="00734000"/>
    <w:rsid w:val="00734371"/>
    <w:rsid w:val="007343B4"/>
    <w:rsid w:val="00734C39"/>
    <w:rsid w:val="00734C3B"/>
    <w:rsid w:val="00734CEE"/>
    <w:rsid w:val="007350AB"/>
    <w:rsid w:val="00735165"/>
    <w:rsid w:val="007352F9"/>
    <w:rsid w:val="00735668"/>
    <w:rsid w:val="00735C0D"/>
    <w:rsid w:val="00736134"/>
    <w:rsid w:val="007365E8"/>
    <w:rsid w:val="00736A4F"/>
    <w:rsid w:val="0073753D"/>
    <w:rsid w:val="00737623"/>
    <w:rsid w:val="00737753"/>
    <w:rsid w:val="00737768"/>
    <w:rsid w:val="00737BBF"/>
    <w:rsid w:val="00737BD5"/>
    <w:rsid w:val="00737FFA"/>
    <w:rsid w:val="007400B0"/>
    <w:rsid w:val="00740BB8"/>
    <w:rsid w:val="00740CE9"/>
    <w:rsid w:val="00740CFB"/>
    <w:rsid w:val="00740D2F"/>
    <w:rsid w:val="00740F3F"/>
    <w:rsid w:val="00741431"/>
    <w:rsid w:val="007416FB"/>
    <w:rsid w:val="00741870"/>
    <w:rsid w:val="00741B2F"/>
    <w:rsid w:val="00742270"/>
    <w:rsid w:val="007425FC"/>
    <w:rsid w:val="007428E3"/>
    <w:rsid w:val="0074394E"/>
    <w:rsid w:val="00743FD5"/>
    <w:rsid w:val="00744039"/>
    <w:rsid w:val="0074422D"/>
    <w:rsid w:val="00744411"/>
    <w:rsid w:val="007445EC"/>
    <w:rsid w:val="00744727"/>
    <w:rsid w:val="00744785"/>
    <w:rsid w:val="007451FF"/>
    <w:rsid w:val="00745656"/>
    <w:rsid w:val="00745CCB"/>
    <w:rsid w:val="00746621"/>
    <w:rsid w:val="007468D6"/>
    <w:rsid w:val="00746E6D"/>
    <w:rsid w:val="00747401"/>
    <w:rsid w:val="00747621"/>
    <w:rsid w:val="00750148"/>
    <w:rsid w:val="00750629"/>
    <w:rsid w:val="007506E4"/>
    <w:rsid w:val="00750D0A"/>
    <w:rsid w:val="00751087"/>
    <w:rsid w:val="007510DA"/>
    <w:rsid w:val="00751475"/>
    <w:rsid w:val="007516AE"/>
    <w:rsid w:val="00751726"/>
    <w:rsid w:val="00751C51"/>
    <w:rsid w:val="00751D93"/>
    <w:rsid w:val="00751E30"/>
    <w:rsid w:val="00751E5C"/>
    <w:rsid w:val="00752082"/>
    <w:rsid w:val="00752300"/>
    <w:rsid w:val="007523B5"/>
    <w:rsid w:val="007533AA"/>
    <w:rsid w:val="007536A4"/>
    <w:rsid w:val="007538C7"/>
    <w:rsid w:val="00753BF5"/>
    <w:rsid w:val="007541A1"/>
    <w:rsid w:val="007546F8"/>
    <w:rsid w:val="007555E4"/>
    <w:rsid w:val="0075579B"/>
    <w:rsid w:val="007559D6"/>
    <w:rsid w:val="00755BAB"/>
    <w:rsid w:val="00755EB2"/>
    <w:rsid w:val="007563B1"/>
    <w:rsid w:val="00756565"/>
    <w:rsid w:val="00756576"/>
    <w:rsid w:val="00756962"/>
    <w:rsid w:val="00756E31"/>
    <w:rsid w:val="00756F30"/>
    <w:rsid w:val="00756FF8"/>
    <w:rsid w:val="00757925"/>
    <w:rsid w:val="00757987"/>
    <w:rsid w:val="00757B7C"/>
    <w:rsid w:val="00757E10"/>
    <w:rsid w:val="007603CD"/>
    <w:rsid w:val="007605FF"/>
    <w:rsid w:val="007606B8"/>
    <w:rsid w:val="0076080E"/>
    <w:rsid w:val="00760821"/>
    <w:rsid w:val="007616AE"/>
    <w:rsid w:val="00761C0D"/>
    <w:rsid w:val="0076208F"/>
    <w:rsid w:val="007622F1"/>
    <w:rsid w:val="00762335"/>
    <w:rsid w:val="00762686"/>
    <w:rsid w:val="00762B01"/>
    <w:rsid w:val="00762C76"/>
    <w:rsid w:val="00762D32"/>
    <w:rsid w:val="00762D65"/>
    <w:rsid w:val="00762F9B"/>
    <w:rsid w:val="00763362"/>
    <w:rsid w:val="00763EE0"/>
    <w:rsid w:val="0076411D"/>
    <w:rsid w:val="007642A6"/>
    <w:rsid w:val="00764828"/>
    <w:rsid w:val="00764DE1"/>
    <w:rsid w:val="00764F72"/>
    <w:rsid w:val="00764FA2"/>
    <w:rsid w:val="0076541B"/>
    <w:rsid w:val="0076568D"/>
    <w:rsid w:val="007658CC"/>
    <w:rsid w:val="00765A68"/>
    <w:rsid w:val="00765D85"/>
    <w:rsid w:val="00766494"/>
    <w:rsid w:val="00766864"/>
    <w:rsid w:val="007668BB"/>
    <w:rsid w:val="007670F8"/>
    <w:rsid w:val="007671D4"/>
    <w:rsid w:val="007673F9"/>
    <w:rsid w:val="007673FE"/>
    <w:rsid w:val="00767636"/>
    <w:rsid w:val="007678E0"/>
    <w:rsid w:val="0076792E"/>
    <w:rsid w:val="007679F3"/>
    <w:rsid w:val="00767DDA"/>
    <w:rsid w:val="00770024"/>
    <w:rsid w:val="007703E1"/>
    <w:rsid w:val="00770A85"/>
    <w:rsid w:val="00770C1A"/>
    <w:rsid w:val="00770C9C"/>
    <w:rsid w:val="00770FB9"/>
    <w:rsid w:val="007713C5"/>
    <w:rsid w:val="00771906"/>
    <w:rsid w:val="00771D1B"/>
    <w:rsid w:val="007720C5"/>
    <w:rsid w:val="00772462"/>
    <w:rsid w:val="00772900"/>
    <w:rsid w:val="00772992"/>
    <w:rsid w:val="00772D34"/>
    <w:rsid w:val="00772E1C"/>
    <w:rsid w:val="00773A3B"/>
    <w:rsid w:val="00773BD5"/>
    <w:rsid w:val="00773D12"/>
    <w:rsid w:val="00773D96"/>
    <w:rsid w:val="00773DC4"/>
    <w:rsid w:val="00773DC9"/>
    <w:rsid w:val="00773EFE"/>
    <w:rsid w:val="007741A9"/>
    <w:rsid w:val="00774A18"/>
    <w:rsid w:val="00774FBD"/>
    <w:rsid w:val="00775289"/>
    <w:rsid w:val="0077541A"/>
    <w:rsid w:val="0077572E"/>
    <w:rsid w:val="007757E7"/>
    <w:rsid w:val="00775E63"/>
    <w:rsid w:val="007767E8"/>
    <w:rsid w:val="00776986"/>
    <w:rsid w:val="007775B0"/>
    <w:rsid w:val="00777B9B"/>
    <w:rsid w:val="00777BE4"/>
    <w:rsid w:val="00777D5F"/>
    <w:rsid w:val="00780089"/>
    <w:rsid w:val="00780123"/>
    <w:rsid w:val="0078031B"/>
    <w:rsid w:val="007805AC"/>
    <w:rsid w:val="00780736"/>
    <w:rsid w:val="00780FBE"/>
    <w:rsid w:val="00781365"/>
    <w:rsid w:val="0078144B"/>
    <w:rsid w:val="007816D6"/>
    <w:rsid w:val="00781921"/>
    <w:rsid w:val="007825C3"/>
    <w:rsid w:val="00782719"/>
    <w:rsid w:val="007828D0"/>
    <w:rsid w:val="00782D79"/>
    <w:rsid w:val="0078314A"/>
    <w:rsid w:val="00783B9A"/>
    <w:rsid w:val="00783C33"/>
    <w:rsid w:val="00784137"/>
    <w:rsid w:val="00784141"/>
    <w:rsid w:val="00784756"/>
    <w:rsid w:val="0078483F"/>
    <w:rsid w:val="007849E2"/>
    <w:rsid w:val="00784B87"/>
    <w:rsid w:val="00784C7F"/>
    <w:rsid w:val="00784D46"/>
    <w:rsid w:val="00784F44"/>
    <w:rsid w:val="00785051"/>
    <w:rsid w:val="00785853"/>
    <w:rsid w:val="00785A9A"/>
    <w:rsid w:val="00785B36"/>
    <w:rsid w:val="007865D9"/>
    <w:rsid w:val="00786672"/>
    <w:rsid w:val="007867FA"/>
    <w:rsid w:val="00786A92"/>
    <w:rsid w:val="00786B4A"/>
    <w:rsid w:val="007870BF"/>
    <w:rsid w:val="007872CF"/>
    <w:rsid w:val="0078764A"/>
    <w:rsid w:val="00787CEB"/>
    <w:rsid w:val="00790485"/>
    <w:rsid w:val="007904CD"/>
    <w:rsid w:val="00790E0D"/>
    <w:rsid w:val="0079103E"/>
    <w:rsid w:val="007913C1"/>
    <w:rsid w:val="0079183A"/>
    <w:rsid w:val="0079201C"/>
    <w:rsid w:val="00792494"/>
    <w:rsid w:val="007924E6"/>
    <w:rsid w:val="0079255D"/>
    <w:rsid w:val="0079307F"/>
    <w:rsid w:val="007934B8"/>
    <w:rsid w:val="007934EC"/>
    <w:rsid w:val="0079358B"/>
    <w:rsid w:val="00793966"/>
    <w:rsid w:val="00793EC8"/>
    <w:rsid w:val="007940C5"/>
    <w:rsid w:val="00794233"/>
    <w:rsid w:val="007942FB"/>
    <w:rsid w:val="007943E2"/>
    <w:rsid w:val="00794407"/>
    <w:rsid w:val="007947C4"/>
    <w:rsid w:val="00794AB5"/>
    <w:rsid w:val="00794C11"/>
    <w:rsid w:val="00794CE9"/>
    <w:rsid w:val="00794D54"/>
    <w:rsid w:val="007952B3"/>
    <w:rsid w:val="00795812"/>
    <w:rsid w:val="007958B9"/>
    <w:rsid w:val="00795AC0"/>
    <w:rsid w:val="00795CE1"/>
    <w:rsid w:val="00796222"/>
    <w:rsid w:val="00796931"/>
    <w:rsid w:val="00796A6B"/>
    <w:rsid w:val="00796FBD"/>
    <w:rsid w:val="007971C5"/>
    <w:rsid w:val="007A0019"/>
    <w:rsid w:val="007A05B3"/>
    <w:rsid w:val="007A0646"/>
    <w:rsid w:val="007A06AC"/>
    <w:rsid w:val="007A0B6D"/>
    <w:rsid w:val="007A1B2F"/>
    <w:rsid w:val="007A27DB"/>
    <w:rsid w:val="007A2E78"/>
    <w:rsid w:val="007A2FC7"/>
    <w:rsid w:val="007A3018"/>
    <w:rsid w:val="007A3B7F"/>
    <w:rsid w:val="007A3C9B"/>
    <w:rsid w:val="007A3DD7"/>
    <w:rsid w:val="007A4127"/>
    <w:rsid w:val="007A4636"/>
    <w:rsid w:val="007A469C"/>
    <w:rsid w:val="007A4C5D"/>
    <w:rsid w:val="007A4DBD"/>
    <w:rsid w:val="007A4DF8"/>
    <w:rsid w:val="007A56FD"/>
    <w:rsid w:val="007A5719"/>
    <w:rsid w:val="007A58DC"/>
    <w:rsid w:val="007A5966"/>
    <w:rsid w:val="007A5AB4"/>
    <w:rsid w:val="007A5E68"/>
    <w:rsid w:val="007A5E74"/>
    <w:rsid w:val="007A5FBF"/>
    <w:rsid w:val="007A67B7"/>
    <w:rsid w:val="007A6EB5"/>
    <w:rsid w:val="007A6EF1"/>
    <w:rsid w:val="007A7377"/>
    <w:rsid w:val="007B0A02"/>
    <w:rsid w:val="007B0A48"/>
    <w:rsid w:val="007B0AD6"/>
    <w:rsid w:val="007B0D26"/>
    <w:rsid w:val="007B1014"/>
    <w:rsid w:val="007B103F"/>
    <w:rsid w:val="007B13E0"/>
    <w:rsid w:val="007B1484"/>
    <w:rsid w:val="007B18A7"/>
    <w:rsid w:val="007B1A0A"/>
    <w:rsid w:val="007B1A10"/>
    <w:rsid w:val="007B1F66"/>
    <w:rsid w:val="007B224F"/>
    <w:rsid w:val="007B22E5"/>
    <w:rsid w:val="007B23B4"/>
    <w:rsid w:val="007B282F"/>
    <w:rsid w:val="007B28A4"/>
    <w:rsid w:val="007B31AB"/>
    <w:rsid w:val="007B31D8"/>
    <w:rsid w:val="007B3268"/>
    <w:rsid w:val="007B37F1"/>
    <w:rsid w:val="007B42D3"/>
    <w:rsid w:val="007B43D8"/>
    <w:rsid w:val="007B43EE"/>
    <w:rsid w:val="007B45D2"/>
    <w:rsid w:val="007B46D9"/>
    <w:rsid w:val="007B4D2E"/>
    <w:rsid w:val="007B5BA0"/>
    <w:rsid w:val="007B6008"/>
    <w:rsid w:val="007B6122"/>
    <w:rsid w:val="007B61E1"/>
    <w:rsid w:val="007B6659"/>
    <w:rsid w:val="007B67C7"/>
    <w:rsid w:val="007B6C39"/>
    <w:rsid w:val="007B71E9"/>
    <w:rsid w:val="007B7512"/>
    <w:rsid w:val="007B7532"/>
    <w:rsid w:val="007B75C7"/>
    <w:rsid w:val="007B76AB"/>
    <w:rsid w:val="007B7DBD"/>
    <w:rsid w:val="007B7F02"/>
    <w:rsid w:val="007C01AA"/>
    <w:rsid w:val="007C031F"/>
    <w:rsid w:val="007C03D7"/>
    <w:rsid w:val="007C0474"/>
    <w:rsid w:val="007C0575"/>
    <w:rsid w:val="007C09EA"/>
    <w:rsid w:val="007C11A0"/>
    <w:rsid w:val="007C16FC"/>
    <w:rsid w:val="007C16FE"/>
    <w:rsid w:val="007C1BDA"/>
    <w:rsid w:val="007C1BDE"/>
    <w:rsid w:val="007C1E42"/>
    <w:rsid w:val="007C264B"/>
    <w:rsid w:val="007C27F9"/>
    <w:rsid w:val="007C289D"/>
    <w:rsid w:val="007C2908"/>
    <w:rsid w:val="007C2CCD"/>
    <w:rsid w:val="007C345A"/>
    <w:rsid w:val="007C3515"/>
    <w:rsid w:val="007C3B77"/>
    <w:rsid w:val="007C3CE1"/>
    <w:rsid w:val="007C3F03"/>
    <w:rsid w:val="007C45D3"/>
    <w:rsid w:val="007C46FD"/>
    <w:rsid w:val="007C4813"/>
    <w:rsid w:val="007C4957"/>
    <w:rsid w:val="007C4A49"/>
    <w:rsid w:val="007C4B59"/>
    <w:rsid w:val="007C4EA7"/>
    <w:rsid w:val="007C4FCE"/>
    <w:rsid w:val="007C50D5"/>
    <w:rsid w:val="007C528D"/>
    <w:rsid w:val="007C58D7"/>
    <w:rsid w:val="007C597B"/>
    <w:rsid w:val="007C5CB5"/>
    <w:rsid w:val="007C5FF6"/>
    <w:rsid w:val="007C685C"/>
    <w:rsid w:val="007C6A93"/>
    <w:rsid w:val="007C6D01"/>
    <w:rsid w:val="007C7332"/>
    <w:rsid w:val="007C760C"/>
    <w:rsid w:val="007D0585"/>
    <w:rsid w:val="007D066E"/>
    <w:rsid w:val="007D08FD"/>
    <w:rsid w:val="007D0AE7"/>
    <w:rsid w:val="007D0E61"/>
    <w:rsid w:val="007D1031"/>
    <w:rsid w:val="007D1292"/>
    <w:rsid w:val="007D1584"/>
    <w:rsid w:val="007D1D51"/>
    <w:rsid w:val="007D1FA3"/>
    <w:rsid w:val="007D2044"/>
    <w:rsid w:val="007D217E"/>
    <w:rsid w:val="007D220F"/>
    <w:rsid w:val="007D22FC"/>
    <w:rsid w:val="007D31D8"/>
    <w:rsid w:val="007D3536"/>
    <w:rsid w:val="007D3676"/>
    <w:rsid w:val="007D36ED"/>
    <w:rsid w:val="007D39C3"/>
    <w:rsid w:val="007D3B9F"/>
    <w:rsid w:val="007D3BDD"/>
    <w:rsid w:val="007D4365"/>
    <w:rsid w:val="007D4992"/>
    <w:rsid w:val="007D4F33"/>
    <w:rsid w:val="007D4FF1"/>
    <w:rsid w:val="007D554B"/>
    <w:rsid w:val="007D57F6"/>
    <w:rsid w:val="007D5A12"/>
    <w:rsid w:val="007D5DBC"/>
    <w:rsid w:val="007D60EB"/>
    <w:rsid w:val="007D61DC"/>
    <w:rsid w:val="007D65C7"/>
    <w:rsid w:val="007D6847"/>
    <w:rsid w:val="007D688E"/>
    <w:rsid w:val="007D69EA"/>
    <w:rsid w:val="007D69EC"/>
    <w:rsid w:val="007D6A90"/>
    <w:rsid w:val="007D73B7"/>
    <w:rsid w:val="007D74D2"/>
    <w:rsid w:val="007D78E2"/>
    <w:rsid w:val="007D79B5"/>
    <w:rsid w:val="007D7E12"/>
    <w:rsid w:val="007D7F9E"/>
    <w:rsid w:val="007E08BA"/>
    <w:rsid w:val="007E0C73"/>
    <w:rsid w:val="007E0D10"/>
    <w:rsid w:val="007E0D87"/>
    <w:rsid w:val="007E1092"/>
    <w:rsid w:val="007E134E"/>
    <w:rsid w:val="007E1991"/>
    <w:rsid w:val="007E1E76"/>
    <w:rsid w:val="007E2334"/>
    <w:rsid w:val="007E23CE"/>
    <w:rsid w:val="007E267F"/>
    <w:rsid w:val="007E2A21"/>
    <w:rsid w:val="007E2A28"/>
    <w:rsid w:val="007E2B8D"/>
    <w:rsid w:val="007E2CE7"/>
    <w:rsid w:val="007E3268"/>
    <w:rsid w:val="007E39F0"/>
    <w:rsid w:val="007E3B18"/>
    <w:rsid w:val="007E3C0F"/>
    <w:rsid w:val="007E43D0"/>
    <w:rsid w:val="007E4B1B"/>
    <w:rsid w:val="007E4BFC"/>
    <w:rsid w:val="007E4F00"/>
    <w:rsid w:val="007E4F54"/>
    <w:rsid w:val="007E5077"/>
    <w:rsid w:val="007E5377"/>
    <w:rsid w:val="007E54F8"/>
    <w:rsid w:val="007E5987"/>
    <w:rsid w:val="007E5B6F"/>
    <w:rsid w:val="007E5BD8"/>
    <w:rsid w:val="007E5C1E"/>
    <w:rsid w:val="007E5FFF"/>
    <w:rsid w:val="007E602A"/>
    <w:rsid w:val="007E6140"/>
    <w:rsid w:val="007E658E"/>
    <w:rsid w:val="007E65C2"/>
    <w:rsid w:val="007E6C79"/>
    <w:rsid w:val="007E728E"/>
    <w:rsid w:val="007E76D7"/>
    <w:rsid w:val="007E7BF9"/>
    <w:rsid w:val="007F01A0"/>
    <w:rsid w:val="007F02BC"/>
    <w:rsid w:val="007F02D3"/>
    <w:rsid w:val="007F0B27"/>
    <w:rsid w:val="007F0B57"/>
    <w:rsid w:val="007F16F7"/>
    <w:rsid w:val="007F18A5"/>
    <w:rsid w:val="007F1C3E"/>
    <w:rsid w:val="007F1D17"/>
    <w:rsid w:val="007F1DBB"/>
    <w:rsid w:val="007F20D7"/>
    <w:rsid w:val="007F226B"/>
    <w:rsid w:val="007F228A"/>
    <w:rsid w:val="007F25D2"/>
    <w:rsid w:val="007F2A40"/>
    <w:rsid w:val="007F2E65"/>
    <w:rsid w:val="007F30D1"/>
    <w:rsid w:val="007F30E9"/>
    <w:rsid w:val="007F358F"/>
    <w:rsid w:val="007F36DA"/>
    <w:rsid w:val="007F3D47"/>
    <w:rsid w:val="007F3F89"/>
    <w:rsid w:val="007F43BA"/>
    <w:rsid w:val="007F45D1"/>
    <w:rsid w:val="007F48DF"/>
    <w:rsid w:val="007F4BE6"/>
    <w:rsid w:val="007F52DE"/>
    <w:rsid w:val="007F590F"/>
    <w:rsid w:val="007F5C41"/>
    <w:rsid w:val="007F6404"/>
    <w:rsid w:val="007F64BE"/>
    <w:rsid w:val="007F6631"/>
    <w:rsid w:val="007F69C9"/>
    <w:rsid w:val="007F6AAD"/>
    <w:rsid w:val="007F6DC3"/>
    <w:rsid w:val="007F7266"/>
    <w:rsid w:val="007F74BC"/>
    <w:rsid w:val="007F773C"/>
    <w:rsid w:val="007F7890"/>
    <w:rsid w:val="007F7C2E"/>
    <w:rsid w:val="007F7D25"/>
    <w:rsid w:val="007F7EDA"/>
    <w:rsid w:val="00800096"/>
    <w:rsid w:val="008006B4"/>
    <w:rsid w:val="00800762"/>
    <w:rsid w:val="00800A05"/>
    <w:rsid w:val="00801168"/>
    <w:rsid w:val="00801288"/>
    <w:rsid w:val="008015B6"/>
    <w:rsid w:val="00801C22"/>
    <w:rsid w:val="008020DF"/>
    <w:rsid w:val="008027DE"/>
    <w:rsid w:val="00802D59"/>
    <w:rsid w:val="00803805"/>
    <w:rsid w:val="00803B4B"/>
    <w:rsid w:val="00803BA4"/>
    <w:rsid w:val="00803FD4"/>
    <w:rsid w:val="008045E9"/>
    <w:rsid w:val="0080481C"/>
    <w:rsid w:val="00804B96"/>
    <w:rsid w:val="00804C4D"/>
    <w:rsid w:val="00804C54"/>
    <w:rsid w:val="00804E8A"/>
    <w:rsid w:val="00804F48"/>
    <w:rsid w:val="008056DD"/>
    <w:rsid w:val="008057C5"/>
    <w:rsid w:val="008058B7"/>
    <w:rsid w:val="00806DCB"/>
    <w:rsid w:val="00806E1A"/>
    <w:rsid w:val="008073C8"/>
    <w:rsid w:val="0080780C"/>
    <w:rsid w:val="00807875"/>
    <w:rsid w:val="008079B0"/>
    <w:rsid w:val="008102DC"/>
    <w:rsid w:val="008107FD"/>
    <w:rsid w:val="008108FD"/>
    <w:rsid w:val="0081104C"/>
    <w:rsid w:val="008112B2"/>
    <w:rsid w:val="008116A5"/>
    <w:rsid w:val="0081178C"/>
    <w:rsid w:val="00811BA2"/>
    <w:rsid w:val="00811C4E"/>
    <w:rsid w:val="00811E4E"/>
    <w:rsid w:val="008121BE"/>
    <w:rsid w:val="008121F2"/>
    <w:rsid w:val="00812529"/>
    <w:rsid w:val="00812D16"/>
    <w:rsid w:val="00812EA0"/>
    <w:rsid w:val="00812ECF"/>
    <w:rsid w:val="00813DE1"/>
    <w:rsid w:val="008148B9"/>
    <w:rsid w:val="00814947"/>
    <w:rsid w:val="00814BB5"/>
    <w:rsid w:val="00815C18"/>
    <w:rsid w:val="00815F51"/>
    <w:rsid w:val="00815F6D"/>
    <w:rsid w:val="00815F7B"/>
    <w:rsid w:val="00816544"/>
    <w:rsid w:val="00816B36"/>
    <w:rsid w:val="00816C51"/>
    <w:rsid w:val="008173BA"/>
    <w:rsid w:val="00817440"/>
    <w:rsid w:val="00817E42"/>
    <w:rsid w:val="0082028A"/>
    <w:rsid w:val="00820664"/>
    <w:rsid w:val="00820725"/>
    <w:rsid w:val="00820D5F"/>
    <w:rsid w:val="0082119C"/>
    <w:rsid w:val="0082150E"/>
    <w:rsid w:val="00821865"/>
    <w:rsid w:val="00821C49"/>
    <w:rsid w:val="00821D82"/>
    <w:rsid w:val="00821FCE"/>
    <w:rsid w:val="0082218D"/>
    <w:rsid w:val="00822308"/>
    <w:rsid w:val="0082245E"/>
    <w:rsid w:val="008224F7"/>
    <w:rsid w:val="008225C0"/>
    <w:rsid w:val="008225EB"/>
    <w:rsid w:val="008227C9"/>
    <w:rsid w:val="0082327D"/>
    <w:rsid w:val="0082347B"/>
    <w:rsid w:val="0082359C"/>
    <w:rsid w:val="008237AE"/>
    <w:rsid w:val="0082396D"/>
    <w:rsid w:val="0082433D"/>
    <w:rsid w:val="0082434F"/>
    <w:rsid w:val="0082551A"/>
    <w:rsid w:val="008256AA"/>
    <w:rsid w:val="00825BAA"/>
    <w:rsid w:val="00825D96"/>
    <w:rsid w:val="00825E6E"/>
    <w:rsid w:val="00825F68"/>
    <w:rsid w:val="008260F4"/>
    <w:rsid w:val="0082638E"/>
    <w:rsid w:val="00826509"/>
    <w:rsid w:val="00826570"/>
    <w:rsid w:val="00826580"/>
    <w:rsid w:val="008271F3"/>
    <w:rsid w:val="00827314"/>
    <w:rsid w:val="008274C5"/>
    <w:rsid w:val="008275DA"/>
    <w:rsid w:val="008277D0"/>
    <w:rsid w:val="00830096"/>
    <w:rsid w:val="00830C6D"/>
    <w:rsid w:val="00830ECE"/>
    <w:rsid w:val="008326B0"/>
    <w:rsid w:val="00832A45"/>
    <w:rsid w:val="00833168"/>
    <w:rsid w:val="00833406"/>
    <w:rsid w:val="0083354D"/>
    <w:rsid w:val="008339B2"/>
    <w:rsid w:val="008339C1"/>
    <w:rsid w:val="008339F0"/>
    <w:rsid w:val="00833AD2"/>
    <w:rsid w:val="00833C68"/>
    <w:rsid w:val="0083400D"/>
    <w:rsid w:val="0083438C"/>
    <w:rsid w:val="0083451E"/>
    <w:rsid w:val="00834CC1"/>
    <w:rsid w:val="00834CE1"/>
    <w:rsid w:val="008354FE"/>
    <w:rsid w:val="0083561B"/>
    <w:rsid w:val="00835806"/>
    <w:rsid w:val="008359CA"/>
    <w:rsid w:val="00835B03"/>
    <w:rsid w:val="00835DEC"/>
    <w:rsid w:val="0083601E"/>
    <w:rsid w:val="0083630F"/>
    <w:rsid w:val="0083660D"/>
    <w:rsid w:val="00836803"/>
    <w:rsid w:val="008369C2"/>
    <w:rsid w:val="00836E6C"/>
    <w:rsid w:val="00836EA5"/>
    <w:rsid w:val="008376BD"/>
    <w:rsid w:val="00837D78"/>
    <w:rsid w:val="00837F07"/>
    <w:rsid w:val="0084036D"/>
    <w:rsid w:val="008404A1"/>
    <w:rsid w:val="00840903"/>
    <w:rsid w:val="0084094B"/>
    <w:rsid w:val="00840D79"/>
    <w:rsid w:val="008417B3"/>
    <w:rsid w:val="0084184F"/>
    <w:rsid w:val="00841EF7"/>
    <w:rsid w:val="00841F7C"/>
    <w:rsid w:val="00842939"/>
    <w:rsid w:val="00842A21"/>
    <w:rsid w:val="00842C0B"/>
    <w:rsid w:val="00843040"/>
    <w:rsid w:val="0084313F"/>
    <w:rsid w:val="008431ED"/>
    <w:rsid w:val="008434C3"/>
    <w:rsid w:val="00844F0E"/>
    <w:rsid w:val="00845992"/>
    <w:rsid w:val="00845DAD"/>
    <w:rsid w:val="00845EEF"/>
    <w:rsid w:val="00846131"/>
    <w:rsid w:val="00846566"/>
    <w:rsid w:val="00846567"/>
    <w:rsid w:val="00846827"/>
    <w:rsid w:val="0084691C"/>
    <w:rsid w:val="00846AE0"/>
    <w:rsid w:val="0085073A"/>
    <w:rsid w:val="00850C67"/>
    <w:rsid w:val="00851377"/>
    <w:rsid w:val="00851384"/>
    <w:rsid w:val="0085164B"/>
    <w:rsid w:val="008523DA"/>
    <w:rsid w:val="008524AB"/>
    <w:rsid w:val="008526E9"/>
    <w:rsid w:val="0085276A"/>
    <w:rsid w:val="00853656"/>
    <w:rsid w:val="008539A5"/>
    <w:rsid w:val="00853E20"/>
    <w:rsid w:val="0085437C"/>
    <w:rsid w:val="00854843"/>
    <w:rsid w:val="00854B2F"/>
    <w:rsid w:val="00854C9D"/>
    <w:rsid w:val="00854D08"/>
    <w:rsid w:val="00854EB6"/>
    <w:rsid w:val="00855028"/>
    <w:rsid w:val="00855481"/>
    <w:rsid w:val="008554D4"/>
    <w:rsid w:val="0085555B"/>
    <w:rsid w:val="0085570F"/>
    <w:rsid w:val="00855912"/>
    <w:rsid w:val="00855A73"/>
    <w:rsid w:val="00856354"/>
    <w:rsid w:val="008566D7"/>
    <w:rsid w:val="008568E1"/>
    <w:rsid w:val="00856BE9"/>
    <w:rsid w:val="00856C99"/>
    <w:rsid w:val="00857167"/>
    <w:rsid w:val="0085729E"/>
    <w:rsid w:val="008578F8"/>
    <w:rsid w:val="008603C1"/>
    <w:rsid w:val="00860566"/>
    <w:rsid w:val="008606B4"/>
    <w:rsid w:val="0086092E"/>
    <w:rsid w:val="00860B04"/>
    <w:rsid w:val="00860DEB"/>
    <w:rsid w:val="0086129A"/>
    <w:rsid w:val="00861473"/>
    <w:rsid w:val="0086165C"/>
    <w:rsid w:val="00861B26"/>
    <w:rsid w:val="0086223C"/>
    <w:rsid w:val="008628FD"/>
    <w:rsid w:val="0086297F"/>
    <w:rsid w:val="00862B4C"/>
    <w:rsid w:val="00862D9F"/>
    <w:rsid w:val="00862EED"/>
    <w:rsid w:val="008638E4"/>
    <w:rsid w:val="00863A77"/>
    <w:rsid w:val="008643FC"/>
    <w:rsid w:val="00864799"/>
    <w:rsid w:val="00864881"/>
    <w:rsid w:val="008649B9"/>
    <w:rsid w:val="00864FDB"/>
    <w:rsid w:val="00865031"/>
    <w:rsid w:val="00865391"/>
    <w:rsid w:val="008653D5"/>
    <w:rsid w:val="00865F91"/>
    <w:rsid w:val="008661EA"/>
    <w:rsid w:val="0086653E"/>
    <w:rsid w:val="00866A4C"/>
    <w:rsid w:val="00866E7A"/>
    <w:rsid w:val="00866F37"/>
    <w:rsid w:val="00866F83"/>
    <w:rsid w:val="0086784F"/>
    <w:rsid w:val="00867936"/>
    <w:rsid w:val="00870394"/>
    <w:rsid w:val="008706C5"/>
    <w:rsid w:val="0087073B"/>
    <w:rsid w:val="00870797"/>
    <w:rsid w:val="008707E6"/>
    <w:rsid w:val="0087091E"/>
    <w:rsid w:val="00870927"/>
    <w:rsid w:val="00870A29"/>
    <w:rsid w:val="00870B48"/>
    <w:rsid w:val="00870F16"/>
    <w:rsid w:val="00870F55"/>
    <w:rsid w:val="00871718"/>
    <w:rsid w:val="00871A55"/>
    <w:rsid w:val="00871CCB"/>
    <w:rsid w:val="00871D9C"/>
    <w:rsid w:val="00871FCD"/>
    <w:rsid w:val="00871FF8"/>
    <w:rsid w:val="008726F6"/>
    <w:rsid w:val="0087325D"/>
    <w:rsid w:val="00873463"/>
    <w:rsid w:val="00873967"/>
    <w:rsid w:val="00873E3B"/>
    <w:rsid w:val="00873E8F"/>
    <w:rsid w:val="00874008"/>
    <w:rsid w:val="008743BB"/>
    <w:rsid w:val="00874BD0"/>
    <w:rsid w:val="00874CF0"/>
    <w:rsid w:val="00874DF1"/>
    <w:rsid w:val="00875297"/>
    <w:rsid w:val="008759F0"/>
    <w:rsid w:val="00875A67"/>
    <w:rsid w:val="00875AC9"/>
    <w:rsid w:val="00875ACE"/>
    <w:rsid w:val="00875B72"/>
    <w:rsid w:val="00875F39"/>
    <w:rsid w:val="00876098"/>
    <w:rsid w:val="00876514"/>
    <w:rsid w:val="008767A8"/>
    <w:rsid w:val="00876A7A"/>
    <w:rsid w:val="00876B5D"/>
    <w:rsid w:val="008770D4"/>
    <w:rsid w:val="008772C9"/>
    <w:rsid w:val="00877A0B"/>
    <w:rsid w:val="00877A4E"/>
    <w:rsid w:val="00877A56"/>
    <w:rsid w:val="00877E1A"/>
    <w:rsid w:val="008800E5"/>
    <w:rsid w:val="008803B6"/>
    <w:rsid w:val="008806D0"/>
    <w:rsid w:val="00880820"/>
    <w:rsid w:val="008809AF"/>
    <w:rsid w:val="00880A48"/>
    <w:rsid w:val="00880BF2"/>
    <w:rsid w:val="00880DDD"/>
    <w:rsid w:val="0088127F"/>
    <w:rsid w:val="00881567"/>
    <w:rsid w:val="008815EF"/>
    <w:rsid w:val="008816AD"/>
    <w:rsid w:val="00881DD2"/>
    <w:rsid w:val="00881ED1"/>
    <w:rsid w:val="00882515"/>
    <w:rsid w:val="008832EC"/>
    <w:rsid w:val="00883ED5"/>
    <w:rsid w:val="00883FFE"/>
    <w:rsid w:val="008843A2"/>
    <w:rsid w:val="008845E4"/>
    <w:rsid w:val="00884613"/>
    <w:rsid w:val="00884617"/>
    <w:rsid w:val="008849F9"/>
    <w:rsid w:val="00884C14"/>
    <w:rsid w:val="00884C3A"/>
    <w:rsid w:val="00885273"/>
    <w:rsid w:val="00885375"/>
    <w:rsid w:val="00885B38"/>
    <w:rsid w:val="00885C2B"/>
    <w:rsid w:val="00885CC5"/>
    <w:rsid w:val="00885F2C"/>
    <w:rsid w:val="0088625B"/>
    <w:rsid w:val="00886386"/>
    <w:rsid w:val="00886AB6"/>
    <w:rsid w:val="00886FE7"/>
    <w:rsid w:val="0088701C"/>
    <w:rsid w:val="00887353"/>
    <w:rsid w:val="0088741F"/>
    <w:rsid w:val="0088764D"/>
    <w:rsid w:val="00887842"/>
    <w:rsid w:val="008879E0"/>
    <w:rsid w:val="00887AC7"/>
    <w:rsid w:val="00887ACA"/>
    <w:rsid w:val="00890C0D"/>
    <w:rsid w:val="00890EFB"/>
    <w:rsid w:val="00892031"/>
    <w:rsid w:val="00892056"/>
    <w:rsid w:val="008920C5"/>
    <w:rsid w:val="00892459"/>
    <w:rsid w:val="008929AA"/>
    <w:rsid w:val="00892AA5"/>
    <w:rsid w:val="008930F9"/>
    <w:rsid w:val="0089337F"/>
    <w:rsid w:val="0089341D"/>
    <w:rsid w:val="0089380E"/>
    <w:rsid w:val="00893A23"/>
    <w:rsid w:val="008943B5"/>
    <w:rsid w:val="00894578"/>
    <w:rsid w:val="008945C5"/>
    <w:rsid w:val="0089470E"/>
    <w:rsid w:val="00894922"/>
    <w:rsid w:val="0089499B"/>
    <w:rsid w:val="00894ACA"/>
    <w:rsid w:val="00894DCB"/>
    <w:rsid w:val="00894EC5"/>
    <w:rsid w:val="00895127"/>
    <w:rsid w:val="00895384"/>
    <w:rsid w:val="008953A9"/>
    <w:rsid w:val="00895804"/>
    <w:rsid w:val="00895CDA"/>
    <w:rsid w:val="00895D3C"/>
    <w:rsid w:val="00896357"/>
    <w:rsid w:val="00896645"/>
    <w:rsid w:val="00896658"/>
    <w:rsid w:val="0089673D"/>
    <w:rsid w:val="008967B5"/>
    <w:rsid w:val="00896A6C"/>
    <w:rsid w:val="00896CA8"/>
    <w:rsid w:val="00896E3D"/>
    <w:rsid w:val="008976C1"/>
    <w:rsid w:val="00897AD7"/>
    <w:rsid w:val="00897B86"/>
    <w:rsid w:val="008A03AC"/>
    <w:rsid w:val="008A077F"/>
    <w:rsid w:val="008A0C56"/>
    <w:rsid w:val="008A1008"/>
    <w:rsid w:val="008A158A"/>
    <w:rsid w:val="008A1A2A"/>
    <w:rsid w:val="008A1BB6"/>
    <w:rsid w:val="008A2265"/>
    <w:rsid w:val="008A230F"/>
    <w:rsid w:val="008A234A"/>
    <w:rsid w:val="008A2CBF"/>
    <w:rsid w:val="008A305C"/>
    <w:rsid w:val="008A345A"/>
    <w:rsid w:val="008A34DF"/>
    <w:rsid w:val="008A38E3"/>
    <w:rsid w:val="008A3DB9"/>
    <w:rsid w:val="008A3EBD"/>
    <w:rsid w:val="008A3F98"/>
    <w:rsid w:val="008A4469"/>
    <w:rsid w:val="008A456C"/>
    <w:rsid w:val="008A457E"/>
    <w:rsid w:val="008A4710"/>
    <w:rsid w:val="008A4DB0"/>
    <w:rsid w:val="008A52E7"/>
    <w:rsid w:val="008A5A53"/>
    <w:rsid w:val="008A5C3F"/>
    <w:rsid w:val="008A5DD8"/>
    <w:rsid w:val="008A6A5C"/>
    <w:rsid w:val="008A6E40"/>
    <w:rsid w:val="008A7316"/>
    <w:rsid w:val="008A7E7D"/>
    <w:rsid w:val="008B0008"/>
    <w:rsid w:val="008B04C2"/>
    <w:rsid w:val="008B0544"/>
    <w:rsid w:val="008B06D2"/>
    <w:rsid w:val="008B072A"/>
    <w:rsid w:val="008B120F"/>
    <w:rsid w:val="008B1472"/>
    <w:rsid w:val="008B165C"/>
    <w:rsid w:val="008B1751"/>
    <w:rsid w:val="008B1B71"/>
    <w:rsid w:val="008B1DF9"/>
    <w:rsid w:val="008B1E6E"/>
    <w:rsid w:val="008B232D"/>
    <w:rsid w:val="008B2452"/>
    <w:rsid w:val="008B2B8B"/>
    <w:rsid w:val="008B2BA4"/>
    <w:rsid w:val="008B2C0C"/>
    <w:rsid w:val="008B2DF4"/>
    <w:rsid w:val="008B300A"/>
    <w:rsid w:val="008B321E"/>
    <w:rsid w:val="008B3AED"/>
    <w:rsid w:val="008B3B1A"/>
    <w:rsid w:val="008B3D2D"/>
    <w:rsid w:val="008B3FC1"/>
    <w:rsid w:val="008B41D1"/>
    <w:rsid w:val="008B4211"/>
    <w:rsid w:val="008B44A6"/>
    <w:rsid w:val="008B4A1C"/>
    <w:rsid w:val="008B4C21"/>
    <w:rsid w:val="008B4C88"/>
    <w:rsid w:val="008B500A"/>
    <w:rsid w:val="008B5DB4"/>
    <w:rsid w:val="008B60E7"/>
    <w:rsid w:val="008B649E"/>
    <w:rsid w:val="008B659E"/>
    <w:rsid w:val="008B68E2"/>
    <w:rsid w:val="008B6DBD"/>
    <w:rsid w:val="008B6E8E"/>
    <w:rsid w:val="008B7374"/>
    <w:rsid w:val="008B75FA"/>
    <w:rsid w:val="008B777C"/>
    <w:rsid w:val="008B7D34"/>
    <w:rsid w:val="008C090B"/>
    <w:rsid w:val="008C0EC3"/>
    <w:rsid w:val="008C1091"/>
    <w:rsid w:val="008C137D"/>
    <w:rsid w:val="008C1610"/>
    <w:rsid w:val="008C16C4"/>
    <w:rsid w:val="008C18E7"/>
    <w:rsid w:val="008C1CB1"/>
    <w:rsid w:val="008C1E95"/>
    <w:rsid w:val="008C211D"/>
    <w:rsid w:val="008C22CD"/>
    <w:rsid w:val="008C2306"/>
    <w:rsid w:val="008C2BB1"/>
    <w:rsid w:val="008C2F1E"/>
    <w:rsid w:val="008C30BD"/>
    <w:rsid w:val="008C30E5"/>
    <w:rsid w:val="008C32AD"/>
    <w:rsid w:val="008C3543"/>
    <w:rsid w:val="008C37E4"/>
    <w:rsid w:val="008C3B5B"/>
    <w:rsid w:val="008C3DFC"/>
    <w:rsid w:val="008C3F27"/>
    <w:rsid w:val="008C404B"/>
    <w:rsid w:val="008C409F"/>
    <w:rsid w:val="008C4283"/>
    <w:rsid w:val="008C4343"/>
    <w:rsid w:val="008C4749"/>
    <w:rsid w:val="008C4858"/>
    <w:rsid w:val="008C4C3A"/>
    <w:rsid w:val="008C4FB5"/>
    <w:rsid w:val="008C5622"/>
    <w:rsid w:val="008C5783"/>
    <w:rsid w:val="008C5972"/>
    <w:rsid w:val="008C5AAD"/>
    <w:rsid w:val="008C5CDB"/>
    <w:rsid w:val="008C602D"/>
    <w:rsid w:val="008C6546"/>
    <w:rsid w:val="008C6BCC"/>
    <w:rsid w:val="008C6C76"/>
    <w:rsid w:val="008C6E87"/>
    <w:rsid w:val="008C6EAB"/>
    <w:rsid w:val="008C75F2"/>
    <w:rsid w:val="008C7AEA"/>
    <w:rsid w:val="008C7B75"/>
    <w:rsid w:val="008C7C0F"/>
    <w:rsid w:val="008D020D"/>
    <w:rsid w:val="008D0259"/>
    <w:rsid w:val="008D0786"/>
    <w:rsid w:val="008D098D"/>
    <w:rsid w:val="008D0A0C"/>
    <w:rsid w:val="008D0BA1"/>
    <w:rsid w:val="008D135A"/>
    <w:rsid w:val="008D1C3E"/>
    <w:rsid w:val="008D1EBA"/>
    <w:rsid w:val="008D20AA"/>
    <w:rsid w:val="008D2205"/>
    <w:rsid w:val="008D2331"/>
    <w:rsid w:val="008D2B23"/>
    <w:rsid w:val="008D2B82"/>
    <w:rsid w:val="008D2D83"/>
    <w:rsid w:val="008D321B"/>
    <w:rsid w:val="008D347F"/>
    <w:rsid w:val="008D351F"/>
    <w:rsid w:val="008D3524"/>
    <w:rsid w:val="008D35AD"/>
    <w:rsid w:val="008D36CD"/>
    <w:rsid w:val="008D3D69"/>
    <w:rsid w:val="008D4380"/>
    <w:rsid w:val="008D48D1"/>
    <w:rsid w:val="008D4A0E"/>
    <w:rsid w:val="008D4CB9"/>
    <w:rsid w:val="008D4D1E"/>
    <w:rsid w:val="008D550B"/>
    <w:rsid w:val="008D55C7"/>
    <w:rsid w:val="008D5736"/>
    <w:rsid w:val="008D588E"/>
    <w:rsid w:val="008D62F4"/>
    <w:rsid w:val="008D6BE8"/>
    <w:rsid w:val="008D6CD6"/>
    <w:rsid w:val="008D6F6C"/>
    <w:rsid w:val="008D722E"/>
    <w:rsid w:val="008D7B89"/>
    <w:rsid w:val="008E0115"/>
    <w:rsid w:val="008E03FA"/>
    <w:rsid w:val="008E0771"/>
    <w:rsid w:val="008E0B63"/>
    <w:rsid w:val="008E0BD2"/>
    <w:rsid w:val="008E1139"/>
    <w:rsid w:val="008E14B3"/>
    <w:rsid w:val="008E167B"/>
    <w:rsid w:val="008E27E9"/>
    <w:rsid w:val="008E2DB0"/>
    <w:rsid w:val="008E2FCB"/>
    <w:rsid w:val="008E3C81"/>
    <w:rsid w:val="008E3D18"/>
    <w:rsid w:val="008E3D8A"/>
    <w:rsid w:val="008E3D8B"/>
    <w:rsid w:val="008E4125"/>
    <w:rsid w:val="008E4152"/>
    <w:rsid w:val="008E4181"/>
    <w:rsid w:val="008E419A"/>
    <w:rsid w:val="008E41CF"/>
    <w:rsid w:val="008E42DE"/>
    <w:rsid w:val="008E43EA"/>
    <w:rsid w:val="008E447E"/>
    <w:rsid w:val="008E48D1"/>
    <w:rsid w:val="008E4C28"/>
    <w:rsid w:val="008E4F5D"/>
    <w:rsid w:val="008E534D"/>
    <w:rsid w:val="008E5454"/>
    <w:rsid w:val="008E6159"/>
    <w:rsid w:val="008E65EB"/>
    <w:rsid w:val="008E66A8"/>
    <w:rsid w:val="008E6FD7"/>
    <w:rsid w:val="008E7783"/>
    <w:rsid w:val="008E7D01"/>
    <w:rsid w:val="008F023C"/>
    <w:rsid w:val="008F028C"/>
    <w:rsid w:val="008F0B2B"/>
    <w:rsid w:val="008F13D8"/>
    <w:rsid w:val="008F144F"/>
    <w:rsid w:val="008F1551"/>
    <w:rsid w:val="008F1A37"/>
    <w:rsid w:val="008F26C5"/>
    <w:rsid w:val="008F27C3"/>
    <w:rsid w:val="008F28C6"/>
    <w:rsid w:val="008F290B"/>
    <w:rsid w:val="008F2A1E"/>
    <w:rsid w:val="008F2C33"/>
    <w:rsid w:val="008F2C49"/>
    <w:rsid w:val="008F2E35"/>
    <w:rsid w:val="008F3067"/>
    <w:rsid w:val="008F3253"/>
    <w:rsid w:val="008F36E3"/>
    <w:rsid w:val="008F36F0"/>
    <w:rsid w:val="008F3875"/>
    <w:rsid w:val="008F3B33"/>
    <w:rsid w:val="008F3F26"/>
    <w:rsid w:val="008F4275"/>
    <w:rsid w:val="008F4601"/>
    <w:rsid w:val="008F46AC"/>
    <w:rsid w:val="008F46F2"/>
    <w:rsid w:val="008F471D"/>
    <w:rsid w:val="008F4B0F"/>
    <w:rsid w:val="008F4E4C"/>
    <w:rsid w:val="008F57DB"/>
    <w:rsid w:val="008F59AD"/>
    <w:rsid w:val="008F5F33"/>
    <w:rsid w:val="008F5F8D"/>
    <w:rsid w:val="008F66BC"/>
    <w:rsid w:val="008F6B05"/>
    <w:rsid w:val="008F7577"/>
    <w:rsid w:val="008F7CFF"/>
    <w:rsid w:val="008F7ED1"/>
    <w:rsid w:val="008F7F96"/>
    <w:rsid w:val="009000C0"/>
    <w:rsid w:val="00900416"/>
    <w:rsid w:val="009004F8"/>
    <w:rsid w:val="009006CD"/>
    <w:rsid w:val="00900E12"/>
    <w:rsid w:val="00900EB5"/>
    <w:rsid w:val="00901154"/>
    <w:rsid w:val="0090187F"/>
    <w:rsid w:val="00901C8D"/>
    <w:rsid w:val="00902100"/>
    <w:rsid w:val="00902369"/>
    <w:rsid w:val="00902785"/>
    <w:rsid w:val="009027EC"/>
    <w:rsid w:val="00902B0C"/>
    <w:rsid w:val="009030DF"/>
    <w:rsid w:val="009033B5"/>
    <w:rsid w:val="009034A0"/>
    <w:rsid w:val="00903711"/>
    <w:rsid w:val="009038A1"/>
    <w:rsid w:val="00903970"/>
    <w:rsid w:val="00903C79"/>
    <w:rsid w:val="009040FB"/>
    <w:rsid w:val="00904A4D"/>
    <w:rsid w:val="00904BF9"/>
    <w:rsid w:val="009050FD"/>
    <w:rsid w:val="00905643"/>
    <w:rsid w:val="00905D4C"/>
    <w:rsid w:val="00905DF7"/>
    <w:rsid w:val="00905EE9"/>
    <w:rsid w:val="00906264"/>
    <w:rsid w:val="009065F4"/>
    <w:rsid w:val="0090667B"/>
    <w:rsid w:val="009070E4"/>
    <w:rsid w:val="00907293"/>
    <w:rsid w:val="00907478"/>
    <w:rsid w:val="00907553"/>
    <w:rsid w:val="009075A7"/>
    <w:rsid w:val="00907B77"/>
    <w:rsid w:val="00907DFB"/>
    <w:rsid w:val="00910624"/>
    <w:rsid w:val="00910928"/>
    <w:rsid w:val="00910AE6"/>
    <w:rsid w:val="00910AF3"/>
    <w:rsid w:val="00910EBB"/>
    <w:rsid w:val="00910FBA"/>
    <w:rsid w:val="0091121C"/>
    <w:rsid w:val="00911298"/>
    <w:rsid w:val="009116EB"/>
    <w:rsid w:val="00911843"/>
    <w:rsid w:val="00911885"/>
    <w:rsid w:val="00911CEC"/>
    <w:rsid w:val="00911D39"/>
    <w:rsid w:val="00911EAA"/>
    <w:rsid w:val="00912229"/>
    <w:rsid w:val="00912A3D"/>
    <w:rsid w:val="00912B9F"/>
    <w:rsid w:val="009135DA"/>
    <w:rsid w:val="009136DF"/>
    <w:rsid w:val="009138D3"/>
    <w:rsid w:val="00913B4F"/>
    <w:rsid w:val="00913CAF"/>
    <w:rsid w:val="00913D16"/>
    <w:rsid w:val="00913D49"/>
    <w:rsid w:val="00914067"/>
    <w:rsid w:val="00914174"/>
    <w:rsid w:val="00914414"/>
    <w:rsid w:val="00914699"/>
    <w:rsid w:val="00914DF4"/>
    <w:rsid w:val="00915910"/>
    <w:rsid w:val="009165A7"/>
    <w:rsid w:val="00916723"/>
    <w:rsid w:val="00916C99"/>
    <w:rsid w:val="009171D4"/>
    <w:rsid w:val="00917799"/>
    <w:rsid w:val="00917A72"/>
    <w:rsid w:val="00917C0F"/>
    <w:rsid w:val="0092040E"/>
    <w:rsid w:val="009207CE"/>
    <w:rsid w:val="009208DD"/>
    <w:rsid w:val="00920C6C"/>
    <w:rsid w:val="00921737"/>
    <w:rsid w:val="00921897"/>
    <w:rsid w:val="00921C6D"/>
    <w:rsid w:val="009223DC"/>
    <w:rsid w:val="009227D9"/>
    <w:rsid w:val="00922A15"/>
    <w:rsid w:val="00922A2A"/>
    <w:rsid w:val="00922E95"/>
    <w:rsid w:val="00923105"/>
    <w:rsid w:val="009233BF"/>
    <w:rsid w:val="00923444"/>
    <w:rsid w:val="00923555"/>
    <w:rsid w:val="009235BA"/>
    <w:rsid w:val="00923945"/>
    <w:rsid w:val="00923C44"/>
    <w:rsid w:val="00924809"/>
    <w:rsid w:val="00924BCD"/>
    <w:rsid w:val="00924BEC"/>
    <w:rsid w:val="00924E29"/>
    <w:rsid w:val="00924ED6"/>
    <w:rsid w:val="009250D5"/>
    <w:rsid w:val="0092560B"/>
    <w:rsid w:val="009265B2"/>
    <w:rsid w:val="00926AC1"/>
    <w:rsid w:val="00926CBC"/>
    <w:rsid w:val="00927140"/>
    <w:rsid w:val="00927791"/>
    <w:rsid w:val="00927BCF"/>
    <w:rsid w:val="00927D9C"/>
    <w:rsid w:val="0093002F"/>
    <w:rsid w:val="009303E2"/>
    <w:rsid w:val="00930551"/>
    <w:rsid w:val="00930607"/>
    <w:rsid w:val="009308BA"/>
    <w:rsid w:val="00930984"/>
    <w:rsid w:val="00930D0A"/>
    <w:rsid w:val="00930DDA"/>
    <w:rsid w:val="00930DDF"/>
    <w:rsid w:val="009312CC"/>
    <w:rsid w:val="00931504"/>
    <w:rsid w:val="009315F3"/>
    <w:rsid w:val="00931664"/>
    <w:rsid w:val="009317DA"/>
    <w:rsid w:val="00931858"/>
    <w:rsid w:val="00931871"/>
    <w:rsid w:val="00931B10"/>
    <w:rsid w:val="00932817"/>
    <w:rsid w:val="009329BA"/>
    <w:rsid w:val="00932D95"/>
    <w:rsid w:val="00932E80"/>
    <w:rsid w:val="0093304D"/>
    <w:rsid w:val="00933288"/>
    <w:rsid w:val="00933BC3"/>
    <w:rsid w:val="00933F98"/>
    <w:rsid w:val="0093476E"/>
    <w:rsid w:val="00934924"/>
    <w:rsid w:val="00934E99"/>
    <w:rsid w:val="00934F18"/>
    <w:rsid w:val="00935645"/>
    <w:rsid w:val="009357E0"/>
    <w:rsid w:val="009363AE"/>
    <w:rsid w:val="00936939"/>
    <w:rsid w:val="00936BE9"/>
    <w:rsid w:val="0093700D"/>
    <w:rsid w:val="009377E5"/>
    <w:rsid w:val="00937C0A"/>
    <w:rsid w:val="00937D94"/>
    <w:rsid w:val="0094053B"/>
    <w:rsid w:val="009406D4"/>
    <w:rsid w:val="00940B11"/>
    <w:rsid w:val="00940C88"/>
    <w:rsid w:val="00940E83"/>
    <w:rsid w:val="009410CD"/>
    <w:rsid w:val="00941520"/>
    <w:rsid w:val="00941552"/>
    <w:rsid w:val="00941893"/>
    <w:rsid w:val="00941C12"/>
    <w:rsid w:val="00941FBD"/>
    <w:rsid w:val="00942029"/>
    <w:rsid w:val="00942040"/>
    <w:rsid w:val="009422B1"/>
    <w:rsid w:val="009422E0"/>
    <w:rsid w:val="0094251F"/>
    <w:rsid w:val="0094256C"/>
    <w:rsid w:val="00942619"/>
    <w:rsid w:val="0094274C"/>
    <w:rsid w:val="009427BD"/>
    <w:rsid w:val="00942C8A"/>
    <w:rsid w:val="00942C9F"/>
    <w:rsid w:val="00942EDC"/>
    <w:rsid w:val="00943A59"/>
    <w:rsid w:val="00943F98"/>
    <w:rsid w:val="00944366"/>
    <w:rsid w:val="00944A8C"/>
    <w:rsid w:val="00944B43"/>
    <w:rsid w:val="00944B6B"/>
    <w:rsid w:val="00944C00"/>
    <w:rsid w:val="00944E0C"/>
    <w:rsid w:val="00945631"/>
    <w:rsid w:val="00945AEB"/>
    <w:rsid w:val="009462FB"/>
    <w:rsid w:val="00946339"/>
    <w:rsid w:val="00946C11"/>
    <w:rsid w:val="00946C3B"/>
    <w:rsid w:val="00946DDD"/>
    <w:rsid w:val="009470F1"/>
    <w:rsid w:val="00947549"/>
    <w:rsid w:val="00947717"/>
    <w:rsid w:val="009477AE"/>
    <w:rsid w:val="009479BB"/>
    <w:rsid w:val="00947CF3"/>
    <w:rsid w:val="00950410"/>
    <w:rsid w:val="00950787"/>
    <w:rsid w:val="00950947"/>
    <w:rsid w:val="00950C3F"/>
    <w:rsid w:val="00950DB0"/>
    <w:rsid w:val="00950DD5"/>
    <w:rsid w:val="00951047"/>
    <w:rsid w:val="0095166A"/>
    <w:rsid w:val="009517EA"/>
    <w:rsid w:val="00951A48"/>
    <w:rsid w:val="00951BDC"/>
    <w:rsid w:val="00951D9C"/>
    <w:rsid w:val="009529A4"/>
    <w:rsid w:val="00952B95"/>
    <w:rsid w:val="0095361B"/>
    <w:rsid w:val="00953B0F"/>
    <w:rsid w:val="009541B7"/>
    <w:rsid w:val="009542AE"/>
    <w:rsid w:val="009543B4"/>
    <w:rsid w:val="00954AC7"/>
    <w:rsid w:val="00954B12"/>
    <w:rsid w:val="00954D5E"/>
    <w:rsid w:val="00954E69"/>
    <w:rsid w:val="0095522F"/>
    <w:rsid w:val="00956295"/>
    <w:rsid w:val="009566F4"/>
    <w:rsid w:val="00956996"/>
    <w:rsid w:val="00957031"/>
    <w:rsid w:val="00957219"/>
    <w:rsid w:val="0095724F"/>
    <w:rsid w:val="0095740F"/>
    <w:rsid w:val="009574FB"/>
    <w:rsid w:val="00957818"/>
    <w:rsid w:val="00957840"/>
    <w:rsid w:val="0095784B"/>
    <w:rsid w:val="009578B8"/>
    <w:rsid w:val="0095793C"/>
    <w:rsid w:val="00957DB5"/>
    <w:rsid w:val="00957E53"/>
    <w:rsid w:val="009600FA"/>
    <w:rsid w:val="0096028A"/>
    <w:rsid w:val="00960376"/>
    <w:rsid w:val="00960A33"/>
    <w:rsid w:val="00960D28"/>
    <w:rsid w:val="0096111E"/>
    <w:rsid w:val="00961125"/>
    <w:rsid w:val="00961675"/>
    <w:rsid w:val="0096179C"/>
    <w:rsid w:val="00961A1B"/>
    <w:rsid w:val="009623D8"/>
    <w:rsid w:val="00963008"/>
    <w:rsid w:val="00963362"/>
    <w:rsid w:val="0096376E"/>
    <w:rsid w:val="00963BD1"/>
    <w:rsid w:val="00963D27"/>
    <w:rsid w:val="00964353"/>
    <w:rsid w:val="00964527"/>
    <w:rsid w:val="0096457C"/>
    <w:rsid w:val="00964A37"/>
    <w:rsid w:val="00965264"/>
    <w:rsid w:val="009654A0"/>
    <w:rsid w:val="00965795"/>
    <w:rsid w:val="009658D6"/>
    <w:rsid w:val="00965DF7"/>
    <w:rsid w:val="00965E2A"/>
    <w:rsid w:val="00965EAF"/>
    <w:rsid w:val="009664CE"/>
    <w:rsid w:val="009666B5"/>
    <w:rsid w:val="00966B1F"/>
    <w:rsid w:val="00966C4A"/>
    <w:rsid w:val="00966D72"/>
    <w:rsid w:val="009676CA"/>
    <w:rsid w:val="009677E1"/>
    <w:rsid w:val="009679FC"/>
    <w:rsid w:val="00967AA0"/>
    <w:rsid w:val="00970331"/>
    <w:rsid w:val="009703F4"/>
    <w:rsid w:val="00970497"/>
    <w:rsid w:val="009704A8"/>
    <w:rsid w:val="009706B3"/>
    <w:rsid w:val="009708AB"/>
    <w:rsid w:val="00970A7E"/>
    <w:rsid w:val="00970A82"/>
    <w:rsid w:val="00970AC8"/>
    <w:rsid w:val="00970D46"/>
    <w:rsid w:val="00970E21"/>
    <w:rsid w:val="0097116E"/>
    <w:rsid w:val="00971488"/>
    <w:rsid w:val="009717B8"/>
    <w:rsid w:val="0097181A"/>
    <w:rsid w:val="0097186F"/>
    <w:rsid w:val="0097190E"/>
    <w:rsid w:val="00971EA6"/>
    <w:rsid w:val="009727E9"/>
    <w:rsid w:val="00972817"/>
    <w:rsid w:val="00972849"/>
    <w:rsid w:val="00972B9E"/>
    <w:rsid w:val="00972BA1"/>
    <w:rsid w:val="00972EDB"/>
    <w:rsid w:val="00972F81"/>
    <w:rsid w:val="00972FF6"/>
    <w:rsid w:val="0097376E"/>
    <w:rsid w:val="009738A7"/>
    <w:rsid w:val="009739A6"/>
    <w:rsid w:val="00973AA0"/>
    <w:rsid w:val="00973BA0"/>
    <w:rsid w:val="009742DE"/>
    <w:rsid w:val="0097436F"/>
    <w:rsid w:val="00974518"/>
    <w:rsid w:val="009745AE"/>
    <w:rsid w:val="00974AD9"/>
    <w:rsid w:val="00974BA0"/>
    <w:rsid w:val="0097527D"/>
    <w:rsid w:val="00975A94"/>
    <w:rsid w:val="00975E93"/>
    <w:rsid w:val="009760FB"/>
    <w:rsid w:val="009763E8"/>
    <w:rsid w:val="0097652C"/>
    <w:rsid w:val="009766AD"/>
    <w:rsid w:val="00976D93"/>
    <w:rsid w:val="00976F5B"/>
    <w:rsid w:val="0097719A"/>
    <w:rsid w:val="0097788C"/>
    <w:rsid w:val="00977D77"/>
    <w:rsid w:val="00980297"/>
    <w:rsid w:val="00980452"/>
    <w:rsid w:val="009804E8"/>
    <w:rsid w:val="00980A0B"/>
    <w:rsid w:val="00980B8C"/>
    <w:rsid w:val="00980BBC"/>
    <w:rsid w:val="00980D86"/>
    <w:rsid w:val="00980FE0"/>
    <w:rsid w:val="00981039"/>
    <w:rsid w:val="00981066"/>
    <w:rsid w:val="00981803"/>
    <w:rsid w:val="00981FF7"/>
    <w:rsid w:val="00982454"/>
    <w:rsid w:val="009826DA"/>
    <w:rsid w:val="009829DE"/>
    <w:rsid w:val="00982D6E"/>
    <w:rsid w:val="00982F0E"/>
    <w:rsid w:val="00982FC3"/>
    <w:rsid w:val="00983856"/>
    <w:rsid w:val="009838D4"/>
    <w:rsid w:val="009850FC"/>
    <w:rsid w:val="0098526E"/>
    <w:rsid w:val="0098528E"/>
    <w:rsid w:val="00985F8B"/>
    <w:rsid w:val="0098608A"/>
    <w:rsid w:val="0098613A"/>
    <w:rsid w:val="00987643"/>
    <w:rsid w:val="00987734"/>
    <w:rsid w:val="0099035D"/>
    <w:rsid w:val="0099062C"/>
    <w:rsid w:val="009907B0"/>
    <w:rsid w:val="00990B70"/>
    <w:rsid w:val="00990C3B"/>
    <w:rsid w:val="00990CD8"/>
    <w:rsid w:val="0099156E"/>
    <w:rsid w:val="009917E6"/>
    <w:rsid w:val="00991908"/>
    <w:rsid w:val="00991931"/>
    <w:rsid w:val="00991CAC"/>
    <w:rsid w:val="00991CBD"/>
    <w:rsid w:val="00991FC9"/>
    <w:rsid w:val="009921E6"/>
    <w:rsid w:val="009922B9"/>
    <w:rsid w:val="009925EA"/>
    <w:rsid w:val="0099264E"/>
    <w:rsid w:val="00992729"/>
    <w:rsid w:val="009928B7"/>
    <w:rsid w:val="00992BF3"/>
    <w:rsid w:val="0099321A"/>
    <w:rsid w:val="00993441"/>
    <w:rsid w:val="00993602"/>
    <w:rsid w:val="00993679"/>
    <w:rsid w:val="009937CD"/>
    <w:rsid w:val="00993B78"/>
    <w:rsid w:val="00993F62"/>
    <w:rsid w:val="00993F8E"/>
    <w:rsid w:val="009942E7"/>
    <w:rsid w:val="009944A9"/>
    <w:rsid w:val="00994775"/>
    <w:rsid w:val="009947E8"/>
    <w:rsid w:val="00994AD7"/>
    <w:rsid w:val="00994E4C"/>
    <w:rsid w:val="009954E3"/>
    <w:rsid w:val="0099571A"/>
    <w:rsid w:val="009959BF"/>
    <w:rsid w:val="00995EFA"/>
    <w:rsid w:val="009960B7"/>
    <w:rsid w:val="00996377"/>
    <w:rsid w:val="0099659D"/>
    <w:rsid w:val="00996745"/>
    <w:rsid w:val="009968CA"/>
    <w:rsid w:val="009969A4"/>
    <w:rsid w:val="00996C72"/>
    <w:rsid w:val="00996D50"/>
    <w:rsid w:val="00996EAF"/>
    <w:rsid w:val="00996F08"/>
    <w:rsid w:val="00997094"/>
    <w:rsid w:val="00997126"/>
    <w:rsid w:val="009972FE"/>
    <w:rsid w:val="009975AF"/>
    <w:rsid w:val="00997A88"/>
    <w:rsid w:val="00997EBA"/>
    <w:rsid w:val="009A0089"/>
    <w:rsid w:val="009A09C0"/>
    <w:rsid w:val="009A0B10"/>
    <w:rsid w:val="009A1935"/>
    <w:rsid w:val="009A1FF3"/>
    <w:rsid w:val="009A210A"/>
    <w:rsid w:val="009A212B"/>
    <w:rsid w:val="009A2210"/>
    <w:rsid w:val="009A2564"/>
    <w:rsid w:val="009A280F"/>
    <w:rsid w:val="009A2894"/>
    <w:rsid w:val="009A2A92"/>
    <w:rsid w:val="009A2EA4"/>
    <w:rsid w:val="009A2EF5"/>
    <w:rsid w:val="009A3A1B"/>
    <w:rsid w:val="009A3AA4"/>
    <w:rsid w:val="009A3F00"/>
    <w:rsid w:val="009A4299"/>
    <w:rsid w:val="009A4BD4"/>
    <w:rsid w:val="009A5662"/>
    <w:rsid w:val="009A6174"/>
    <w:rsid w:val="009A6B6C"/>
    <w:rsid w:val="009A7C66"/>
    <w:rsid w:val="009A7D43"/>
    <w:rsid w:val="009B016E"/>
    <w:rsid w:val="009B08D7"/>
    <w:rsid w:val="009B0DB7"/>
    <w:rsid w:val="009B126D"/>
    <w:rsid w:val="009B1DE8"/>
    <w:rsid w:val="009B23C4"/>
    <w:rsid w:val="009B34B3"/>
    <w:rsid w:val="009B3B2A"/>
    <w:rsid w:val="009B4049"/>
    <w:rsid w:val="009B43AF"/>
    <w:rsid w:val="009B4E31"/>
    <w:rsid w:val="009B510F"/>
    <w:rsid w:val="009B536C"/>
    <w:rsid w:val="009B5505"/>
    <w:rsid w:val="009B55C5"/>
    <w:rsid w:val="009B5711"/>
    <w:rsid w:val="009B5C19"/>
    <w:rsid w:val="009B6496"/>
    <w:rsid w:val="009B669E"/>
    <w:rsid w:val="009B675B"/>
    <w:rsid w:val="009B70E5"/>
    <w:rsid w:val="009B734F"/>
    <w:rsid w:val="009B7607"/>
    <w:rsid w:val="009B7ACA"/>
    <w:rsid w:val="009B7BD5"/>
    <w:rsid w:val="009B7EA1"/>
    <w:rsid w:val="009C01DA"/>
    <w:rsid w:val="009C0227"/>
    <w:rsid w:val="009C067B"/>
    <w:rsid w:val="009C0910"/>
    <w:rsid w:val="009C0A72"/>
    <w:rsid w:val="009C0CD6"/>
    <w:rsid w:val="009C1528"/>
    <w:rsid w:val="009C152C"/>
    <w:rsid w:val="009C1628"/>
    <w:rsid w:val="009C185F"/>
    <w:rsid w:val="009C1AB4"/>
    <w:rsid w:val="009C1E1A"/>
    <w:rsid w:val="009C20CC"/>
    <w:rsid w:val="009C2BDF"/>
    <w:rsid w:val="009C2C24"/>
    <w:rsid w:val="009C2D67"/>
    <w:rsid w:val="009C309F"/>
    <w:rsid w:val="009C342F"/>
    <w:rsid w:val="009C3558"/>
    <w:rsid w:val="009C38CF"/>
    <w:rsid w:val="009C3B79"/>
    <w:rsid w:val="009C3C16"/>
    <w:rsid w:val="009C48C2"/>
    <w:rsid w:val="009C4C58"/>
    <w:rsid w:val="009C4CF9"/>
    <w:rsid w:val="009C4E85"/>
    <w:rsid w:val="009C4F9F"/>
    <w:rsid w:val="009C5423"/>
    <w:rsid w:val="009C562E"/>
    <w:rsid w:val="009C571D"/>
    <w:rsid w:val="009C58E3"/>
    <w:rsid w:val="009C5A26"/>
    <w:rsid w:val="009C5AB4"/>
    <w:rsid w:val="009C5D4B"/>
    <w:rsid w:val="009C5E44"/>
    <w:rsid w:val="009C5F47"/>
    <w:rsid w:val="009C6111"/>
    <w:rsid w:val="009C6294"/>
    <w:rsid w:val="009C6808"/>
    <w:rsid w:val="009C6B51"/>
    <w:rsid w:val="009C6D3E"/>
    <w:rsid w:val="009C6D5A"/>
    <w:rsid w:val="009C715A"/>
    <w:rsid w:val="009C71A6"/>
    <w:rsid w:val="009C7268"/>
    <w:rsid w:val="009C7321"/>
    <w:rsid w:val="009C7531"/>
    <w:rsid w:val="009C79A1"/>
    <w:rsid w:val="009C7BB8"/>
    <w:rsid w:val="009C7E3C"/>
    <w:rsid w:val="009D0243"/>
    <w:rsid w:val="009D074F"/>
    <w:rsid w:val="009D097E"/>
    <w:rsid w:val="009D0A69"/>
    <w:rsid w:val="009D0C8C"/>
    <w:rsid w:val="009D122C"/>
    <w:rsid w:val="009D16A2"/>
    <w:rsid w:val="009D220C"/>
    <w:rsid w:val="009D221F"/>
    <w:rsid w:val="009D2FAA"/>
    <w:rsid w:val="009D355C"/>
    <w:rsid w:val="009D3605"/>
    <w:rsid w:val="009D3B1F"/>
    <w:rsid w:val="009D3B50"/>
    <w:rsid w:val="009D3C0E"/>
    <w:rsid w:val="009D418B"/>
    <w:rsid w:val="009D439A"/>
    <w:rsid w:val="009D471E"/>
    <w:rsid w:val="009D497E"/>
    <w:rsid w:val="009D4B87"/>
    <w:rsid w:val="009D4BA8"/>
    <w:rsid w:val="009D5258"/>
    <w:rsid w:val="009D527B"/>
    <w:rsid w:val="009D58E7"/>
    <w:rsid w:val="009D5D13"/>
    <w:rsid w:val="009D5D48"/>
    <w:rsid w:val="009D69B7"/>
    <w:rsid w:val="009D6AE9"/>
    <w:rsid w:val="009D6BCA"/>
    <w:rsid w:val="009D7595"/>
    <w:rsid w:val="009D75A1"/>
    <w:rsid w:val="009D77E0"/>
    <w:rsid w:val="009D79B7"/>
    <w:rsid w:val="009E08FB"/>
    <w:rsid w:val="009E09F0"/>
    <w:rsid w:val="009E1021"/>
    <w:rsid w:val="009E1337"/>
    <w:rsid w:val="009E1505"/>
    <w:rsid w:val="009E19E8"/>
    <w:rsid w:val="009E1BE4"/>
    <w:rsid w:val="009E1FEE"/>
    <w:rsid w:val="009E202F"/>
    <w:rsid w:val="009E20D1"/>
    <w:rsid w:val="009E2699"/>
    <w:rsid w:val="009E2821"/>
    <w:rsid w:val="009E30F5"/>
    <w:rsid w:val="009E3109"/>
    <w:rsid w:val="009E347F"/>
    <w:rsid w:val="009E3502"/>
    <w:rsid w:val="009E3724"/>
    <w:rsid w:val="009E377C"/>
    <w:rsid w:val="009E3B3A"/>
    <w:rsid w:val="009E3D60"/>
    <w:rsid w:val="009E411C"/>
    <w:rsid w:val="009E4509"/>
    <w:rsid w:val="009E458A"/>
    <w:rsid w:val="009E4A03"/>
    <w:rsid w:val="009E4AD4"/>
    <w:rsid w:val="009E4EA5"/>
    <w:rsid w:val="009E510C"/>
    <w:rsid w:val="009E513A"/>
    <w:rsid w:val="009E51A9"/>
    <w:rsid w:val="009E5316"/>
    <w:rsid w:val="009E547A"/>
    <w:rsid w:val="009E5612"/>
    <w:rsid w:val="009E5764"/>
    <w:rsid w:val="009E5C70"/>
    <w:rsid w:val="009E5D7C"/>
    <w:rsid w:val="009E5D86"/>
    <w:rsid w:val="009E5DFC"/>
    <w:rsid w:val="009E5E61"/>
    <w:rsid w:val="009E6140"/>
    <w:rsid w:val="009E626E"/>
    <w:rsid w:val="009E68EB"/>
    <w:rsid w:val="009E6937"/>
    <w:rsid w:val="009E6F13"/>
    <w:rsid w:val="009E7101"/>
    <w:rsid w:val="009E7700"/>
    <w:rsid w:val="009F0115"/>
    <w:rsid w:val="009F0318"/>
    <w:rsid w:val="009F0583"/>
    <w:rsid w:val="009F0A34"/>
    <w:rsid w:val="009F1789"/>
    <w:rsid w:val="009F1F3C"/>
    <w:rsid w:val="009F22E0"/>
    <w:rsid w:val="009F2354"/>
    <w:rsid w:val="009F290C"/>
    <w:rsid w:val="009F2944"/>
    <w:rsid w:val="009F2A6E"/>
    <w:rsid w:val="009F2B98"/>
    <w:rsid w:val="009F2CB1"/>
    <w:rsid w:val="009F2E3B"/>
    <w:rsid w:val="009F3664"/>
    <w:rsid w:val="009F36D2"/>
    <w:rsid w:val="009F3725"/>
    <w:rsid w:val="009F386D"/>
    <w:rsid w:val="009F38A8"/>
    <w:rsid w:val="009F39E9"/>
    <w:rsid w:val="009F3AFA"/>
    <w:rsid w:val="009F3B6B"/>
    <w:rsid w:val="009F3DC4"/>
    <w:rsid w:val="009F4504"/>
    <w:rsid w:val="009F4A28"/>
    <w:rsid w:val="009F4F89"/>
    <w:rsid w:val="009F5001"/>
    <w:rsid w:val="009F502C"/>
    <w:rsid w:val="009F5118"/>
    <w:rsid w:val="009F526F"/>
    <w:rsid w:val="009F585C"/>
    <w:rsid w:val="009F58E7"/>
    <w:rsid w:val="009F603B"/>
    <w:rsid w:val="009F623C"/>
    <w:rsid w:val="009F62B9"/>
    <w:rsid w:val="009F6533"/>
    <w:rsid w:val="009F6932"/>
    <w:rsid w:val="009F6987"/>
    <w:rsid w:val="009F700C"/>
    <w:rsid w:val="009F720F"/>
    <w:rsid w:val="00A00015"/>
    <w:rsid w:val="00A0012D"/>
    <w:rsid w:val="00A0092F"/>
    <w:rsid w:val="00A00BBA"/>
    <w:rsid w:val="00A00F70"/>
    <w:rsid w:val="00A010E7"/>
    <w:rsid w:val="00A0182A"/>
    <w:rsid w:val="00A01A17"/>
    <w:rsid w:val="00A01A60"/>
    <w:rsid w:val="00A01B12"/>
    <w:rsid w:val="00A027CD"/>
    <w:rsid w:val="00A02BE1"/>
    <w:rsid w:val="00A02DBB"/>
    <w:rsid w:val="00A030CF"/>
    <w:rsid w:val="00A031E2"/>
    <w:rsid w:val="00A0321D"/>
    <w:rsid w:val="00A032CE"/>
    <w:rsid w:val="00A03433"/>
    <w:rsid w:val="00A034C7"/>
    <w:rsid w:val="00A03833"/>
    <w:rsid w:val="00A03883"/>
    <w:rsid w:val="00A03D1A"/>
    <w:rsid w:val="00A03D43"/>
    <w:rsid w:val="00A03E9F"/>
    <w:rsid w:val="00A0430E"/>
    <w:rsid w:val="00A047A1"/>
    <w:rsid w:val="00A05006"/>
    <w:rsid w:val="00A05747"/>
    <w:rsid w:val="00A058D5"/>
    <w:rsid w:val="00A060D0"/>
    <w:rsid w:val="00A066D4"/>
    <w:rsid w:val="00A06757"/>
    <w:rsid w:val="00A06A04"/>
    <w:rsid w:val="00A06ACC"/>
    <w:rsid w:val="00A06D5F"/>
    <w:rsid w:val="00A06E6E"/>
    <w:rsid w:val="00A07197"/>
    <w:rsid w:val="00A076F9"/>
    <w:rsid w:val="00A07997"/>
    <w:rsid w:val="00A0799B"/>
    <w:rsid w:val="00A07E6D"/>
    <w:rsid w:val="00A07F87"/>
    <w:rsid w:val="00A1040C"/>
    <w:rsid w:val="00A107AB"/>
    <w:rsid w:val="00A10E0D"/>
    <w:rsid w:val="00A10E81"/>
    <w:rsid w:val="00A119E8"/>
    <w:rsid w:val="00A11C3F"/>
    <w:rsid w:val="00A11E03"/>
    <w:rsid w:val="00A12652"/>
    <w:rsid w:val="00A128FE"/>
    <w:rsid w:val="00A12D5C"/>
    <w:rsid w:val="00A1347E"/>
    <w:rsid w:val="00A13659"/>
    <w:rsid w:val="00A13DA0"/>
    <w:rsid w:val="00A14112"/>
    <w:rsid w:val="00A14140"/>
    <w:rsid w:val="00A141D9"/>
    <w:rsid w:val="00A14234"/>
    <w:rsid w:val="00A1480B"/>
    <w:rsid w:val="00A14968"/>
    <w:rsid w:val="00A15409"/>
    <w:rsid w:val="00A15B28"/>
    <w:rsid w:val="00A15C25"/>
    <w:rsid w:val="00A1637F"/>
    <w:rsid w:val="00A1666F"/>
    <w:rsid w:val="00A166EF"/>
    <w:rsid w:val="00A17110"/>
    <w:rsid w:val="00A171C3"/>
    <w:rsid w:val="00A173A8"/>
    <w:rsid w:val="00A17407"/>
    <w:rsid w:val="00A178D9"/>
    <w:rsid w:val="00A17A51"/>
    <w:rsid w:val="00A17C06"/>
    <w:rsid w:val="00A17FAD"/>
    <w:rsid w:val="00A2027E"/>
    <w:rsid w:val="00A206ED"/>
    <w:rsid w:val="00A20806"/>
    <w:rsid w:val="00A20862"/>
    <w:rsid w:val="00A208D7"/>
    <w:rsid w:val="00A20C7F"/>
    <w:rsid w:val="00A211C5"/>
    <w:rsid w:val="00A213D2"/>
    <w:rsid w:val="00A215BC"/>
    <w:rsid w:val="00A21C76"/>
    <w:rsid w:val="00A21D41"/>
    <w:rsid w:val="00A22014"/>
    <w:rsid w:val="00A222DF"/>
    <w:rsid w:val="00A22686"/>
    <w:rsid w:val="00A227F5"/>
    <w:rsid w:val="00A22BAA"/>
    <w:rsid w:val="00A22DBA"/>
    <w:rsid w:val="00A2329D"/>
    <w:rsid w:val="00A236AE"/>
    <w:rsid w:val="00A23830"/>
    <w:rsid w:val="00A23A70"/>
    <w:rsid w:val="00A242BA"/>
    <w:rsid w:val="00A247D9"/>
    <w:rsid w:val="00A2485C"/>
    <w:rsid w:val="00A2490E"/>
    <w:rsid w:val="00A250D8"/>
    <w:rsid w:val="00A2522E"/>
    <w:rsid w:val="00A25442"/>
    <w:rsid w:val="00A25539"/>
    <w:rsid w:val="00A25BFF"/>
    <w:rsid w:val="00A26648"/>
    <w:rsid w:val="00A26933"/>
    <w:rsid w:val="00A26B1D"/>
    <w:rsid w:val="00A26B60"/>
    <w:rsid w:val="00A26F5F"/>
    <w:rsid w:val="00A26F79"/>
    <w:rsid w:val="00A27289"/>
    <w:rsid w:val="00A27522"/>
    <w:rsid w:val="00A2768F"/>
    <w:rsid w:val="00A27D89"/>
    <w:rsid w:val="00A301D4"/>
    <w:rsid w:val="00A30697"/>
    <w:rsid w:val="00A309C9"/>
    <w:rsid w:val="00A30A4B"/>
    <w:rsid w:val="00A30BCA"/>
    <w:rsid w:val="00A30C45"/>
    <w:rsid w:val="00A30D92"/>
    <w:rsid w:val="00A31075"/>
    <w:rsid w:val="00A31341"/>
    <w:rsid w:val="00A3136F"/>
    <w:rsid w:val="00A315A4"/>
    <w:rsid w:val="00A3172D"/>
    <w:rsid w:val="00A32570"/>
    <w:rsid w:val="00A32575"/>
    <w:rsid w:val="00A3301A"/>
    <w:rsid w:val="00A33A62"/>
    <w:rsid w:val="00A341D5"/>
    <w:rsid w:val="00A341F4"/>
    <w:rsid w:val="00A3497C"/>
    <w:rsid w:val="00A34D0C"/>
    <w:rsid w:val="00A34D76"/>
    <w:rsid w:val="00A34DB7"/>
    <w:rsid w:val="00A34F0E"/>
    <w:rsid w:val="00A35125"/>
    <w:rsid w:val="00A353C2"/>
    <w:rsid w:val="00A354C3"/>
    <w:rsid w:val="00A35798"/>
    <w:rsid w:val="00A35B2B"/>
    <w:rsid w:val="00A364F3"/>
    <w:rsid w:val="00A365D0"/>
    <w:rsid w:val="00A36DD2"/>
    <w:rsid w:val="00A36F01"/>
    <w:rsid w:val="00A37504"/>
    <w:rsid w:val="00A376A3"/>
    <w:rsid w:val="00A3781B"/>
    <w:rsid w:val="00A402B8"/>
    <w:rsid w:val="00A4043E"/>
    <w:rsid w:val="00A405EC"/>
    <w:rsid w:val="00A4060C"/>
    <w:rsid w:val="00A40B57"/>
    <w:rsid w:val="00A41153"/>
    <w:rsid w:val="00A4126E"/>
    <w:rsid w:val="00A414B9"/>
    <w:rsid w:val="00A41503"/>
    <w:rsid w:val="00A418BA"/>
    <w:rsid w:val="00A41F62"/>
    <w:rsid w:val="00A42457"/>
    <w:rsid w:val="00A424B6"/>
    <w:rsid w:val="00A42987"/>
    <w:rsid w:val="00A4299F"/>
    <w:rsid w:val="00A42F0F"/>
    <w:rsid w:val="00A43513"/>
    <w:rsid w:val="00A437D9"/>
    <w:rsid w:val="00A43B6F"/>
    <w:rsid w:val="00A43C16"/>
    <w:rsid w:val="00A443A6"/>
    <w:rsid w:val="00A444E6"/>
    <w:rsid w:val="00A44568"/>
    <w:rsid w:val="00A446A4"/>
    <w:rsid w:val="00A44CA0"/>
    <w:rsid w:val="00A44EBC"/>
    <w:rsid w:val="00A4529A"/>
    <w:rsid w:val="00A45631"/>
    <w:rsid w:val="00A45723"/>
    <w:rsid w:val="00A457BD"/>
    <w:rsid w:val="00A4596E"/>
    <w:rsid w:val="00A45A1A"/>
    <w:rsid w:val="00A45DFA"/>
    <w:rsid w:val="00A45E61"/>
    <w:rsid w:val="00A4609B"/>
    <w:rsid w:val="00A463C0"/>
    <w:rsid w:val="00A464BA"/>
    <w:rsid w:val="00A46920"/>
    <w:rsid w:val="00A46F0B"/>
    <w:rsid w:val="00A46F2B"/>
    <w:rsid w:val="00A47A1B"/>
    <w:rsid w:val="00A47AE2"/>
    <w:rsid w:val="00A47BA3"/>
    <w:rsid w:val="00A47F32"/>
    <w:rsid w:val="00A500AE"/>
    <w:rsid w:val="00A503BE"/>
    <w:rsid w:val="00A50BF1"/>
    <w:rsid w:val="00A50C10"/>
    <w:rsid w:val="00A5107F"/>
    <w:rsid w:val="00A51477"/>
    <w:rsid w:val="00A5153C"/>
    <w:rsid w:val="00A51A82"/>
    <w:rsid w:val="00A5260D"/>
    <w:rsid w:val="00A527D8"/>
    <w:rsid w:val="00A52845"/>
    <w:rsid w:val="00A53040"/>
    <w:rsid w:val="00A53220"/>
    <w:rsid w:val="00A5342C"/>
    <w:rsid w:val="00A537A0"/>
    <w:rsid w:val="00A538E6"/>
    <w:rsid w:val="00A54514"/>
    <w:rsid w:val="00A5451B"/>
    <w:rsid w:val="00A54CAB"/>
    <w:rsid w:val="00A55331"/>
    <w:rsid w:val="00A55DD3"/>
    <w:rsid w:val="00A55E84"/>
    <w:rsid w:val="00A55EFB"/>
    <w:rsid w:val="00A55FB4"/>
    <w:rsid w:val="00A56102"/>
    <w:rsid w:val="00A56191"/>
    <w:rsid w:val="00A56800"/>
    <w:rsid w:val="00A56D7E"/>
    <w:rsid w:val="00A56E77"/>
    <w:rsid w:val="00A5729C"/>
    <w:rsid w:val="00A5738A"/>
    <w:rsid w:val="00A57404"/>
    <w:rsid w:val="00A574FB"/>
    <w:rsid w:val="00A575BD"/>
    <w:rsid w:val="00A57BDC"/>
    <w:rsid w:val="00A57EF2"/>
    <w:rsid w:val="00A601A9"/>
    <w:rsid w:val="00A6028B"/>
    <w:rsid w:val="00A60428"/>
    <w:rsid w:val="00A607E5"/>
    <w:rsid w:val="00A60AFC"/>
    <w:rsid w:val="00A60B83"/>
    <w:rsid w:val="00A60C11"/>
    <w:rsid w:val="00A60CB8"/>
    <w:rsid w:val="00A60EEC"/>
    <w:rsid w:val="00A6117A"/>
    <w:rsid w:val="00A6141B"/>
    <w:rsid w:val="00A6143E"/>
    <w:rsid w:val="00A6160D"/>
    <w:rsid w:val="00A61FD6"/>
    <w:rsid w:val="00A62637"/>
    <w:rsid w:val="00A62D9E"/>
    <w:rsid w:val="00A62FC0"/>
    <w:rsid w:val="00A630BA"/>
    <w:rsid w:val="00A631A7"/>
    <w:rsid w:val="00A632BE"/>
    <w:rsid w:val="00A63AE7"/>
    <w:rsid w:val="00A63B83"/>
    <w:rsid w:val="00A63DFA"/>
    <w:rsid w:val="00A63F01"/>
    <w:rsid w:val="00A64092"/>
    <w:rsid w:val="00A640AB"/>
    <w:rsid w:val="00A64198"/>
    <w:rsid w:val="00A643C6"/>
    <w:rsid w:val="00A64FA8"/>
    <w:rsid w:val="00A65142"/>
    <w:rsid w:val="00A65267"/>
    <w:rsid w:val="00A6559F"/>
    <w:rsid w:val="00A6571F"/>
    <w:rsid w:val="00A6594B"/>
    <w:rsid w:val="00A65BD9"/>
    <w:rsid w:val="00A65C35"/>
    <w:rsid w:val="00A65D3B"/>
    <w:rsid w:val="00A65E26"/>
    <w:rsid w:val="00A66718"/>
    <w:rsid w:val="00A66758"/>
    <w:rsid w:val="00A6690B"/>
    <w:rsid w:val="00A66993"/>
    <w:rsid w:val="00A66E5D"/>
    <w:rsid w:val="00A66FEA"/>
    <w:rsid w:val="00A6702E"/>
    <w:rsid w:val="00A6716A"/>
    <w:rsid w:val="00A671EF"/>
    <w:rsid w:val="00A6745C"/>
    <w:rsid w:val="00A675B5"/>
    <w:rsid w:val="00A6775B"/>
    <w:rsid w:val="00A700F0"/>
    <w:rsid w:val="00A7027D"/>
    <w:rsid w:val="00A702D0"/>
    <w:rsid w:val="00A7079A"/>
    <w:rsid w:val="00A7096F"/>
    <w:rsid w:val="00A70B31"/>
    <w:rsid w:val="00A70D71"/>
    <w:rsid w:val="00A715ED"/>
    <w:rsid w:val="00A7164C"/>
    <w:rsid w:val="00A71B5F"/>
    <w:rsid w:val="00A72169"/>
    <w:rsid w:val="00A72ADB"/>
    <w:rsid w:val="00A72C0B"/>
    <w:rsid w:val="00A72E7A"/>
    <w:rsid w:val="00A7363C"/>
    <w:rsid w:val="00A73974"/>
    <w:rsid w:val="00A73A74"/>
    <w:rsid w:val="00A73CC0"/>
    <w:rsid w:val="00A73D6B"/>
    <w:rsid w:val="00A7446E"/>
    <w:rsid w:val="00A745BE"/>
    <w:rsid w:val="00A74C17"/>
    <w:rsid w:val="00A74F24"/>
    <w:rsid w:val="00A759FE"/>
    <w:rsid w:val="00A75AC6"/>
    <w:rsid w:val="00A75CF1"/>
    <w:rsid w:val="00A75D62"/>
    <w:rsid w:val="00A75F2A"/>
    <w:rsid w:val="00A75FE1"/>
    <w:rsid w:val="00A764BC"/>
    <w:rsid w:val="00A76767"/>
    <w:rsid w:val="00A76D67"/>
    <w:rsid w:val="00A77220"/>
    <w:rsid w:val="00A7722E"/>
    <w:rsid w:val="00A7751F"/>
    <w:rsid w:val="00A77562"/>
    <w:rsid w:val="00A776B8"/>
    <w:rsid w:val="00A777E5"/>
    <w:rsid w:val="00A779E4"/>
    <w:rsid w:val="00A77E36"/>
    <w:rsid w:val="00A8009A"/>
    <w:rsid w:val="00A80193"/>
    <w:rsid w:val="00A806C4"/>
    <w:rsid w:val="00A806CF"/>
    <w:rsid w:val="00A8080E"/>
    <w:rsid w:val="00A80A2B"/>
    <w:rsid w:val="00A8104F"/>
    <w:rsid w:val="00A81160"/>
    <w:rsid w:val="00A8118E"/>
    <w:rsid w:val="00A81762"/>
    <w:rsid w:val="00A81EB6"/>
    <w:rsid w:val="00A82255"/>
    <w:rsid w:val="00A82741"/>
    <w:rsid w:val="00A8299E"/>
    <w:rsid w:val="00A82DE9"/>
    <w:rsid w:val="00A8369C"/>
    <w:rsid w:val="00A8372E"/>
    <w:rsid w:val="00A837FE"/>
    <w:rsid w:val="00A83890"/>
    <w:rsid w:val="00A83BDE"/>
    <w:rsid w:val="00A83C34"/>
    <w:rsid w:val="00A840E2"/>
    <w:rsid w:val="00A8450D"/>
    <w:rsid w:val="00A84743"/>
    <w:rsid w:val="00A84968"/>
    <w:rsid w:val="00A84C16"/>
    <w:rsid w:val="00A84DE4"/>
    <w:rsid w:val="00A85230"/>
    <w:rsid w:val="00A85357"/>
    <w:rsid w:val="00A856B8"/>
    <w:rsid w:val="00A856E9"/>
    <w:rsid w:val="00A85776"/>
    <w:rsid w:val="00A859D1"/>
    <w:rsid w:val="00A859FB"/>
    <w:rsid w:val="00A85CB7"/>
    <w:rsid w:val="00A862E8"/>
    <w:rsid w:val="00A8667D"/>
    <w:rsid w:val="00A868E5"/>
    <w:rsid w:val="00A86A99"/>
    <w:rsid w:val="00A86C27"/>
    <w:rsid w:val="00A86C49"/>
    <w:rsid w:val="00A86D2D"/>
    <w:rsid w:val="00A8715C"/>
    <w:rsid w:val="00A871E5"/>
    <w:rsid w:val="00A8729B"/>
    <w:rsid w:val="00A87392"/>
    <w:rsid w:val="00A874BA"/>
    <w:rsid w:val="00A87D7E"/>
    <w:rsid w:val="00A901B1"/>
    <w:rsid w:val="00A902DD"/>
    <w:rsid w:val="00A90AB0"/>
    <w:rsid w:val="00A91617"/>
    <w:rsid w:val="00A91703"/>
    <w:rsid w:val="00A92916"/>
    <w:rsid w:val="00A92B28"/>
    <w:rsid w:val="00A9318B"/>
    <w:rsid w:val="00A93C1C"/>
    <w:rsid w:val="00A93F9A"/>
    <w:rsid w:val="00A93FC8"/>
    <w:rsid w:val="00A9558B"/>
    <w:rsid w:val="00A95912"/>
    <w:rsid w:val="00A95D8F"/>
    <w:rsid w:val="00A9646C"/>
    <w:rsid w:val="00A96BEE"/>
    <w:rsid w:val="00A96FA8"/>
    <w:rsid w:val="00A97202"/>
    <w:rsid w:val="00A9770A"/>
    <w:rsid w:val="00A97B21"/>
    <w:rsid w:val="00AA014A"/>
    <w:rsid w:val="00AA052E"/>
    <w:rsid w:val="00AA0559"/>
    <w:rsid w:val="00AA0745"/>
    <w:rsid w:val="00AA0A43"/>
    <w:rsid w:val="00AA0AEC"/>
    <w:rsid w:val="00AA0DD3"/>
    <w:rsid w:val="00AA0E99"/>
    <w:rsid w:val="00AA1271"/>
    <w:rsid w:val="00AA1348"/>
    <w:rsid w:val="00AA15F6"/>
    <w:rsid w:val="00AA19B7"/>
    <w:rsid w:val="00AA1C07"/>
    <w:rsid w:val="00AA1E5C"/>
    <w:rsid w:val="00AA24BD"/>
    <w:rsid w:val="00AA2F1A"/>
    <w:rsid w:val="00AA3173"/>
    <w:rsid w:val="00AA3688"/>
    <w:rsid w:val="00AA378B"/>
    <w:rsid w:val="00AA3DA5"/>
    <w:rsid w:val="00AA4006"/>
    <w:rsid w:val="00AA4064"/>
    <w:rsid w:val="00AA4E9F"/>
    <w:rsid w:val="00AA552D"/>
    <w:rsid w:val="00AA57D9"/>
    <w:rsid w:val="00AA587B"/>
    <w:rsid w:val="00AA5887"/>
    <w:rsid w:val="00AA59C1"/>
    <w:rsid w:val="00AA637E"/>
    <w:rsid w:val="00AA74D9"/>
    <w:rsid w:val="00AB00CE"/>
    <w:rsid w:val="00AB0949"/>
    <w:rsid w:val="00AB0C40"/>
    <w:rsid w:val="00AB1865"/>
    <w:rsid w:val="00AB19F8"/>
    <w:rsid w:val="00AB24EA"/>
    <w:rsid w:val="00AB251E"/>
    <w:rsid w:val="00AB2632"/>
    <w:rsid w:val="00AB297E"/>
    <w:rsid w:val="00AB2A61"/>
    <w:rsid w:val="00AB2AB9"/>
    <w:rsid w:val="00AB2E6C"/>
    <w:rsid w:val="00AB3063"/>
    <w:rsid w:val="00AB397F"/>
    <w:rsid w:val="00AB3A12"/>
    <w:rsid w:val="00AB3CB9"/>
    <w:rsid w:val="00AB3D67"/>
    <w:rsid w:val="00AB3D6F"/>
    <w:rsid w:val="00AB3EB3"/>
    <w:rsid w:val="00AB3FA2"/>
    <w:rsid w:val="00AB4096"/>
    <w:rsid w:val="00AB44D4"/>
    <w:rsid w:val="00AB4772"/>
    <w:rsid w:val="00AB48FA"/>
    <w:rsid w:val="00AB491A"/>
    <w:rsid w:val="00AB4B03"/>
    <w:rsid w:val="00AB4F2C"/>
    <w:rsid w:val="00AB5A8D"/>
    <w:rsid w:val="00AB5DD5"/>
    <w:rsid w:val="00AB636D"/>
    <w:rsid w:val="00AB657B"/>
    <w:rsid w:val="00AB6642"/>
    <w:rsid w:val="00AB66B4"/>
    <w:rsid w:val="00AB763B"/>
    <w:rsid w:val="00AB7782"/>
    <w:rsid w:val="00AB7B00"/>
    <w:rsid w:val="00AC05CA"/>
    <w:rsid w:val="00AC07D9"/>
    <w:rsid w:val="00AC0AB8"/>
    <w:rsid w:val="00AC0B5C"/>
    <w:rsid w:val="00AC0C89"/>
    <w:rsid w:val="00AC15CE"/>
    <w:rsid w:val="00AC2166"/>
    <w:rsid w:val="00AC246E"/>
    <w:rsid w:val="00AC26A9"/>
    <w:rsid w:val="00AC27D5"/>
    <w:rsid w:val="00AC28F0"/>
    <w:rsid w:val="00AC2C23"/>
    <w:rsid w:val="00AC2CE2"/>
    <w:rsid w:val="00AC2EFE"/>
    <w:rsid w:val="00AC302C"/>
    <w:rsid w:val="00AC3191"/>
    <w:rsid w:val="00AC34A5"/>
    <w:rsid w:val="00AC3642"/>
    <w:rsid w:val="00AC3930"/>
    <w:rsid w:val="00AC3AB1"/>
    <w:rsid w:val="00AC3EA4"/>
    <w:rsid w:val="00AC402F"/>
    <w:rsid w:val="00AC4589"/>
    <w:rsid w:val="00AC46F4"/>
    <w:rsid w:val="00AC4999"/>
    <w:rsid w:val="00AC5DAE"/>
    <w:rsid w:val="00AC655D"/>
    <w:rsid w:val="00AC6648"/>
    <w:rsid w:val="00AC68C6"/>
    <w:rsid w:val="00AC6EE5"/>
    <w:rsid w:val="00AC7612"/>
    <w:rsid w:val="00AC76E9"/>
    <w:rsid w:val="00AC79C1"/>
    <w:rsid w:val="00AC7CA4"/>
    <w:rsid w:val="00AC7E5E"/>
    <w:rsid w:val="00AC7E7B"/>
    <w:rsid w:val="00AC7E9B"/>
    <w:rsid w:val="00AC7F5F"/>
    <w:rsid w:val="00AD02DD"/>
    <w:rsid w:val="00AD02EC"/>
    <w:rsid w:val="00AD046E"/>
    <w:rsid w:val="00AD07E0"/>
    <w:rsid w:val="00AD0F83"/>
    <w:rsid w:val="00AD106F"/>
    <w:rsid w:val="00AD12EE"/>
    <w:rsid w:val="00AD1514"/>
    <w:rsid w:val="00AD1D4E"/>
    <w:rsid w:val="00AD1FD9"/>
    <w:rsid w:val="00AD20E8"/>
    <w:rsid w:val="00AD2439"/>
    <w:rsid w:val="00AD2B73"/>
    <w:rsid w:val="00AD2D3A"/>
    <w:rsid w:val="00AD35F1"/>
    <w:rsid w:val="00AD35F4"/>
    <w:rsid w:val="00AD39DB"/>
    <w:rsid w:val="00AD3BF8"/>
    <w:rsid w:val="00AD3CFA"/>
    <w:rsid w:val="00AD44BC"/>
    <w:rsid w:val="00AD4524"/>
    <w:rsid w:val="00AD464F"/>
    <w:rsid w:val="00AD46E0"/>
    <w:rsid w:val="00AD493B"/>
    <w:rsid w:val="00AD4A64"/>
    <w:rsid w:val="00AD4B7F"/>
    <w:rsid w:val="00AD4D4E"/>
    <w:rsid w:val="00AD5184"/>
    <w:rsid w:val="00AD56E3"/>
    <w:rsid w:val="00AD598F"/>
    <w:rsid w:val="00AD6D09"/>
    <w:rsid w:val="00AD6E15"/>
    <w:rsid w:val="00AD6FC5"/>
    <w:rsid w:val="00AD70D2"/>
    <w:rsid w:val="00AD7126"/>
    <w:rsid w:val="00AD77F6"/>
    <w:rsid w:val="00AD7B10"/>
    <w:rsid w:val="00AD7FDE"/>
    <w:rsid w:val="00AE0796"/>
    <w:rsid w:val="00AE07DA"/>
    <w:rsid w:val="00AE0941"/>
    <w:rsid w:val="00AE098E"/>
    <w:rsid w:val="00AE0AF4"/>
    <w:rsid w:val="00AE0BBA"/>
    <w:rsid w:val="00AE0FC6"/>
    <w:rsid w:val="00AE171A"/>
    <w:rsid w:val="00AE1774"/>
    <w:rsid w:val="00AE1F44"/>
    <w:rsid w:val="00AE2235"/>
    <w:rsid w:val="00AE2291"/>
    <w:rsid w:val="00AE259C"/>
    <w:rsid w:val="00AE25C8"/>
    <w:rsid w:val="00AE2856"/>
    <w:rsid w:val="00AE2D0D"/>
    <w:rsid w:val="00AE2DFB"/>
    <w:rsid w:val="00AE2FB8"/>
    <w:rsid w:val="00AE3130"/>
    <w:rsid w:val="00AE38E7"/>
    <w:rsid w:val="00AE397F"/>
    <w:rsid w:val="00AE3A44"/>
    <w:rsid w:val="00AE3A53"/>
    <w:rsid w:val="00AE3B6E"/>
    <w:rsid w:val="00AE4003"/>
    <w:rsid w:val="00AE4113"/>
    <w:rsid w:val="00AE4380"/>
    <w:rsid w:val="00AE4481"/>
    <w:rsid w:val="00AE4569"/>
    <w:rsid w:val="00AE45B8"/>
    <w:rsid w:val="00AE4FAC"/>
    <w:rsid w:val="00AE5364"/>
    <w:rsid w:val="00AE5440"/>
    <w:rsid w:val="00AE5525"/>
    <w:rsid w:val="00AE5848"/>
    <w:rsid w:val="00AE5A89"/>
    <w:rsid w:val="00AE5DE9"/>
    <w:rsid w:val="00AE6092"/>
    <w:rsid w:val="00AE6381"/>
    <w:rsid w:val="00AE656F"/>
    <w:rsid w:val="00AE70DD"/>
    <w:rsid w:val="00AE72E4"/>
    <w:rsid w:val="00AE757D"/>
    <w:rsid w:val="00AE7B2B"/>
    <w:rsid w:val="00AE7D78"/>
    <w:rsid w:val="00AE7DDD"/>
    <w:rsid w:val="00AE7EE6"/>
    <w:rsid w:val="00AE7FDB"/>
    <w:rsid w:val="00AF00CE"/>
    <w:rsid w:val="00AF11A4"/>
    <w:rsid w:val="00AF1553"/>
    <w:rsid w:val="00AF15A9"/>
    <w:rsid w:val="00AF19EF"/>
    <w:rsid w:val="00AF25CF"/>
    <w:rsid w:val="00AF2721"/>
    <w:rsid w:val="00AF2AEC"/>
    <w:rsid w:val="00AF2BF6"/>
    <w:rsid w:val="00AF2F17"/>
    <w:rsid w:val="00AF3227"/>
    <w:rsid w:val="00AF3C5B"/>
    <w:rsid w:val="00AF3EA7"/>
    <w:rsid w:val="00AF41F6"/>
    <w:rsid w:val="00AF4235"/>
    <w:rsid w:val="00AF435D"/>
    <w:rsid w:val="00AF438E"/>
    <w:rsid w:val="00AF45CA"/>
    <w:rsid w:val="00AF4722"/>
    <w:rsid w:val="00AF4DF1"/>
    <w:rsid w:val="00AF50FC"/>
    <w:rsid w:val="00AF5506"/>
    <w:rsid w:val="00AF578B"/>
    <w:rsid w:val="00AF5950"/>
    <w:rsid w:val="00AF5AC0"/>
    <w:rsid w:val="00AF5CEE"/>
    <w:rsid w:val="00AF600B"/>
    <w:rsid w:val="00AF6840"/>
    <w:rsid w:val="00AF6B14"/>
    <w:rsid w:val="00AF6B48"/>
    <w:rsid w:val="00AF7506"/>
    <w:rsid w:val="00AF76DD"/>
    <w:rsid w:val="00AF7879"/>
    <w:rsid w:val="00AF7E33"/>
    <w:rsid w:val="00AF7F78"/>
    <w:rsid w:val="00B00004"/>
    <w:rsid w:val="00B002A3"/>
    <w:rsid w:val="00B007DD"/>
    <w:rsid w:val="00B0098A"/>
    <w:rsid w:val="00B01016"/>
    <w:rsid w:val="00B0114C"/>
    <w:rsid w:val="00B01280"/>
    <w:rsid w:val="00B0146E"/>
    <w:rsid w:val="00B01D33"/>
    <w:rsid w:val="00B020F6"/>
    <w:rsid w:val="00B02160"/>
    <w:rsid w:val="00B0260A"/>
    <w:rsid w:val="00B02640"/>
    <w:rsid w:val="00B027CB"/>
    <w:rsid w:val="00B02A1A"/>
    <w:rsid w:val="00B02C40"/>
    <w:rsid w:val="00B033F6"/>
    <w:rsid w:val="00B0352B"/>
    <w:rsid w:val="00B03546"/>
    <w:rsid w:val="00B03C0F"/>
    <w:rsid w:val="00B03D45"/>
    <w:rsid w:val="00B03E99"/>
    <w:rsid w:val="00B04581"/>
    <w:rsid w:val="00B04782"/>
    <w:rsid w:val="00B047F4"/>
    <w:rsid w:val="00B049EF"/>
    <w:rsid w:val="00B05024"/>
    <w:rsid w:val="00B058BC"/>
    <w:rsid w:val="00B058D1"/>
    <w:rsid w:val="00B058E6"/>
    <w:rsid w:val="00B06537"/>
    <w:rsid w:val="00B06BB9"/>
    <w:rsid w:val="00B06DAB"/>
    <w:rsid w:val="00B0727D"/>
    <w:rsid w:val="00B073E6"/>
    <w:rsid w:val="00B074CC"/>
    <w:rsid w:val="00B074F8"/>
    <w:rsid w:val="00B076D1"/>
    <w:rsid w:val="00B07EC6"/>
    <w:rsid w:val="00B1011B"/>
    <w:rsid w:val="00B10344"/>
    <w:rsid w:val="00B112A7"/>
    <w:rsid w:val="00B11328"/>
    <w:rsid w:val="00B1153D"/>
    <w:rsid w:val="00B11854"/>
    <w:rsid w:val="00B11A3D"/>
    <w:rsid w:val="00B11EBA"/>
    <w:rsid w:val="00B11F1B"/>
    <w:rsid w:val="00B1201E"/>
    <w:rsid w:val="00B1206E"/>
    <w:rsid w:val="00B120F1"/>
    <w:rsid w:val="00B121B0"/>
    <w:rsid w:val="00B122FD"/>
    <w:rsid w:val="00B126F0"/>
    <w:rsid w:val="00B128F0"/>
    <w:rsid w:val="00B13024"/>
    <w:rsid w:val="00B132F9"/>
    <w:rsid w:val="00B13964"/>
    <w:rsid w:val="00B13A96"/>
    <w:rsid w:val="00B13B2A"/>
    <w:rsid w:val="00B13B87"/>
    <w:rsid w:val="00B1487E"/>
    <w:rsid w:val="00B14D49"/>
    <w:rsid w:val="00B15401"/>
    <w:rsid w:val="00B157DB"/>
    <w:rsid w:val="00B15CE6"/>
    <w:rsid w:val="00B15E20"/>
    <w:rsid w:val="00B162D6"/>
    <w:rsid w:val="00B1657D"/>
    <w:rsid w:val="00B16745"/>
    <w:rsid w:val="00B16AF1"/>
    <w:rsid w:val="00B16E50"/>
    <w:rsid w:val="00B170E7"/>
    <w:rsid w:val="00B17AE6"/>
    <w:rsid w:val="00B17FAB"/>
    <w:rsid w:val="00B17FD1"/>
    <w:rsid w:val="00B205FE"/>
    <w:rsid w:val="00B207B2"/>
    <w:rsid w:val="00B20A46"/>
    <w:rsid w:val="00B20C78"/>
    <w:rsid w:val="00B20D46"/>
    <w:rsid w:val="00B20F2F"/>
    <w:rsid w:val="00B21076"/>
    <w:rsid w:val="00B2139D"/>
    <w:rsid w:val="00B2141A"/>
    <w:rsid w:val="00B21519"/>
    <w:rsid w:val="00B215AE"/>
    <w:rsid w:val="00B216F8"/>
    <w:rsid w:val="00B21BE7"/>
    <w:rsid w:val="00B21C27"/>
    <w:rsid w:val="00B21FAA"/>
    <w:rsid w:val="00B224A6"/>
    <w:rsid w:val="00B22539"/>
    <w:rsid w:val="00B22C5F"/>
    <w:rsid w:val="00B22FF2"/>
    <w:rsid w:val="00B230E4"/>
    <w:rsid w:val="00B231E7"/>
    <w:rsid w:val="00B23622"/>
    <w:rsid w:val="00B23687"/>
    <w:rsid w:val="00B23E0D"/>
    <w:rsid w:val="00B23E70"/>
    <w:rsid w:val="00B24334"/>
    <w:rsid w:val="00B249A7"/>
    <w:rsid w:val="00B25521"/>
    <w:rsid w:val="00B25710"/>
    <w:rsid w:val="00B26015"/>
    <w:rsid w:val="00B264E3"/>
    <w:rsid w:val="00B269A5"/>
    <w:rsid w:val="00B26F17"/>
    <w:rsid w:val="00B2701E"/>
    <w:rsid w:val="00B270D2"/>
    <w:rsid w:val="00B27248"/>
    <w:rsid w:val="00B27711"/>
    <w:rsid w:val="00B27B03"/>
    <w:rsid w:val="00B3044C"/>
    <w:rsid w:val="00B30766"/>
    <w:rsid w:val="00B30DF9"/>
    <w:rsid w:val="00B30FB7"/>
    <w:rsid w:val="00B3113F"/>
    <w:rsid w:val="00B31AA9"/>
    <w:rsid w:val="00B31B62"/>
    <w:rsid w:val="00B3208E"/>
    <w:rsid w:val="00B3226D"/>
    <w:rsid w:val="00B3243F"/>
    <w:rsid w:val="00B3252B"/>
    <w:rsid w:val="00B3265C"/>
    <w:rsid w:val="00B32E09"/>
    <w:rsid w:val="00B33115"/>
    <w:rsid w:val="00B33169"/>
    <w:rsid w:val="00B3332F"/>
    <w:rsid w:val="00B334C2"/>
    <w:rsid w:val="00B33711"/>
    <w:rsid w:val="00B3378F"/>
    <w:rsid w:val="00B33FBD"/>
    <w:rsid w:val="00B34081"/>
    <w:rsid w:val="00B340BB"/>
    <w:rsid w:val="00B346F4"/>
    <w:rsid w:val="00B34744"/>
    <w:rsid w:val="00B34889"/>
    <w:rsid w:val="00B35035"/>
    <w:rsid w:val="00B353B6"/>
    <w:rsid w:val="00B356E8"/>
    <w:rsid w:val="00B3588D"/>
    <w:rsid w:val="00B358AC"/>
    <w:rsid w:val="00B3621E"/>
    <w:rsid w:val="00B366D1"/>
    <w:rsid w:val="00B36A80"/>
    <w:rsid w:val="00B36DD9"/>
    <w:rsid w:val="00B36E4F"/>
    <w:rsid w:val="00B37550"/>
    <w:rsid w:val="00B3779E"/>
    <w:rsid w:val="00B37C5D"/>
    <w:rsid w:val="00B402C6"/>
    <w:rsid w:val="00B40C97"/>
    <w:rsid w:val="00B40F77"/>
    <w:rsid w:val="00B41225"/>
    <w:rsid w:val="00B41228"/>
    <w:rsid w:val="00B412CA"/>
    <w:rsid w:val="00B41324"/>
    <w:rsid w:val="00B417BB"/>
    <w:rsid w:val="00B41B03"/>
    <w:rsid w:val="00B41DC1"/>
    <w:rsid w:val="00B41EE4"/>
    <w:rsid w:val="00B41EF2"/>
    <w:rsid w:val="00B4200A"/>
    <w:rsid w:val="00B42687"/>
    <w:rsid w:val="00B42F45"/>
    <w:rsid w:val="00B42F69"/>
    <w:rsid w:val="00B431B7"/>
    <w:rsid w:val="00B43404"/>
    <w:rsid w:val="00B435B8"/>
    <w:rsid w:val="00B43890"/>
    <w:rsid w:val="00B439F4"/>
    <w:rsid w:val="00B43B0D"/>
    <w:rsid w:val="00B43C29"/>
    <w:rsid w:val="00B43FA1"/>
    <w:rsid w:val="00B44844"/>
    <w:rsid w:val="00B449B3"/>
    <w:rsid w:val="00B44BB0"/>
    <w:rsid w:val="00B44C06"/>
    <w:rsid w:val="00B44DEA"/>
    <w:rsid w:val="00B4508E"/>
    <w:rsid w:val="00B45A3B"/>
    <w:rsid w:val="00B45FBA"/>
    <w:rsid w:val="00B46099"/>
    <w:rsid w:val="00B4632A"/>
    <w:rsid w:val="00B46578"/>
    <w:rsid w:val="00B4661D"/>
    <w:rsid w:val="00B468BF"/>
    <w:rsid w:val="00B4691C"/>
    <w:rsid w:val="00B469E3"/>
    <w:rsid w:val="00B46E5C"/>
    <w:rsid w:val="00B46E78"/>
    <w:rsid w:val="00B46EC7"/>
    <w:rsid w:val="00B46F9B"/>
    <w:rsid w:val="00B471F6"/>
    <w:rsid w:val="00B47774"/>
    <w:rsid w:val="00B479BD"/>
    <w:rsid w:val="00B47B1B"/>
    <w:rsid w:val="00B47DAE"/>
    <w:rsid w:val="00B502C5"/>
    <w:rsid w:val="00B5056A"/>
    <w:rsid w:val="00B508D0"/>
    <w:rsid w:val="00B50906"/>
    <w:rsid w:val="00B50A91"/>
    <w:rsid w:val="00B50C72"/>
    <w:rsid w:val="00B50C77"/>
    <w:rsid w:val="00B5160B"/>
    <w:rsid w:val="00B51761"/>
    <w:rsid w:val="00B51871"/>
    <w:rsid w:val="00B51B21"/>
    <w:rsid w:val="00B51CA7"/>
    <w:rsid w:val="00B51FF9"/>
    <w:rsid w:val="00B52022"/>
    <w:rsid w:val="00B52187"/>
    <w:rsid w:val="00B526BD"/>
    <w:rsid w:val="00B532BC"/>
    <w:rsid w:val="00B53AE5"/>
    <w:rsid w:val="00B53B24"/>
    <w:rsid w:val="00B54205"/>
    <w:rsid w:val="00B543B4"/>
    <w:rsid w:val="00B54691"/>
    <w:rsid w:val="00B54941"/>
    <w:rsid w:val="00B54CA5"/>
    <w:rsid w:val="00B54D75"/>
    <w:rsid w:val="00B54DD8"/>
    <w:rsid w:val="00B550BA"/>
    <w:rsid w:val="00B5542B"/>
    <w:rsid w:val="00B55599"/>
    <w:rsid w:val="00B55981"/>
    <w:rsid w:val="00B56336"/>
    <w:rsid w:val="00B563EE"/>
    <w:rsid w:val="00B5698B"/>
    <w:rsid w:val="00B600AE"/>
    <w:rsid w:val="00B60996"/>
    <w:rsid w:val="00B609AB"/>
    <w:rsid w:val="00B60A8C"/>
    <w:rsid w:val="00B60B32"/>
    <w:rsid w:val="00B60CCD"/>
    <w:rsid w:val="00B61571"/>
    <w:rsid w:val="00B61DD7"/>
    <w:rsid w:val="00B61E3A"/>
    <w:rsid w:val="00B62020"/>
    <w:rsid w:val="00B62831"/>
    <w:rsid w:val="00B62854"/>
    <w:rsid w:val="00B62EF1"/>
    <w:rsid w:val="00B63792"/>
    <w:rsid w:val="00B640CC"/>
    <w:rsid w:val="00B640FA"/>
    <w:rsid w:val="00B645B6"/>
    <w:rsid w:val="00B646D4"/>
    <w:rsid w:val="00B64B2F"/>
    <w:rsid w:val="00B64CAA"/>
    <w:rsid w:val="00B651B4"/>
    <w:rsid w:val="00B651D2"/>
    <w:rsid w:val="00B65448"/>
    <w:rsid w:val="00B65895"/>
    <w:rsid w:val="00B66137"/>
    <w:rsid w:val="00B6632D"/>
    <w:rsid w:val="00B663DF"/>
    <w:rsid w:val="00B667BF"/>
    <w:rsid w:val="00B669B8"/>
    <w:rsid w:val="00B66A98"/>
    <w:rsid w:val="00B66E2D"/>
    <w:rsid w:val="00B66FEB"/>
    <w:rsid w:val="00B6711C"/>
    <w:rsid w:val="00B67325"/>
    <w:rsid w:val="00B674D6"/>
    <w:rsid w:val="00B6797D"/>
    <w:rsid w:val="00B67D4C"/>
    <w:rsid w:val="00B67D6D"/>
    <w:rsid w:val="00B67EA9"/>
    <w:rsid w:val="00B701E9"/>
    <w:rsid w:val="00B70387"/>
    <w:rsid w:val="00B703B3"/>
    <w:rsid w:val="00B7046A"/>
    <w:rsid w:val="00B70786"/>
    <w:rsid w:val="00B70D13"/>
    <w:rsid w:val="00B71427"/>
    <w:rsid w:val="00B714B8"/>
    <w:rsid w:val="00B71807"/>
    <w:rsid w:val="00B718CC"/>
    <w:rsid w:val="00B71A38"/>
    <w:rsid w:val="00B72138"/>
    <w:rsid w:val="00B721B3"/>
    <w:rsid w:val="00B7245B"/>
    <w:rsid w:val="00B72490"/>
    <w:rsid w:val="00B725DD"/>
    <w:rsid w:val="00B72887"/>
    <w:rsid w:val="00B72910"/>
    <w:rsid w:val="00B72FE0"/>
    <w:rsid w:val="00B73373"/>
    <w:rsid w:val="00B735B2"/>
    <w:rsid w:val="00B735B8"/>
    <w:rsid w:val="00B737E2"/>
    <w:rsid w:val="00B73F56"/>
    <w:rsid w:val="00B74716"/>
    <w:rsid w:val="00B74738"/>
    <w:rsid w:val="00B74793"/>
    <w:rsid w:val="00B74858"/>
    <w:rsid w:val="00B74CC6"/>
    <w:rsid w:val="00B752EB"/>
    <w:rsid w:val="00B75410"/>
    <w:rsid w:val="00B75821"/>
    <w:rsid w:val="00B75A25"/>
    <w:rsid w:val="00B75A30"/>
    <w:rsid w:val="00B75B93"/>
    <w:rsid w:val="00B75F4B"/>
    <w:rsid w:val="00B762B9"/>
    <w:rsid w:val="00B7695D"/>
    <w:rsid w:val="00B76DEC"/>
    <w:rsid w:val="00B76F1F"/>
    <w:rsid w:val="00B770BD"/>
    <w:rsid w:val="00B7739F"/>
    <w:rsid w:val="00B779C3"/>
    <w:rsid w:val="00B77BE4"/>
    <w:rsid w:val="00B77C89"/>
    <w:rsid w:val="00B80030"/>
    <w:rsid w:val="00B80058"/>
    <w:rsid w:val="00B80126"/>
    <w:rsid w:val="00B801FA"/>
    <w:rsid w:val="00B802E5"/>
    <w:rsid w:val="00B8056C"/>
    <w:rsid w:val="00B80BD6"/>
    <w:rsid w:val="00B812BE"/>
    <w:rsid w:val="00B813D5"/>
    <w:rsid w:val="00B81423"/>
    <w:rsid w:val="00B815E6"/>
    <w:rsid w:val="00B81EA6"/>
    <w:rsid w:val="00B823AF"/>
    <w:rsid w:val="00B82459"/>
    <w:rsid w:val="00B8258D"/>
    <w:rsid w:val="00B825B4"/>
    <w:rsid w:val="00B827EC"/>
    <w:rsid w:val="00B82AEA"/>
    <w:rsid w:val="00B82FA2"/>
    <w:rsid w:val="00B82FCA"/>
    <w:rsid w:val="00B833C9"/>
    <w:rsid w:val="00B83405"/>
    <w:rsid w:val="00B84889"/>
    <w:rsid w:val="00B84E7E"/>
    <w:rsid w:val="00B851E7"/>
    <w:rsid w:val="00B8549F"/>
    <w:rsid w:val="00B85593"/>
    <w:rsid w:val="00B858F9"/>
    <w:rsid w:val="00B859E1"/>
    <w:rsid w:val="00B85B6D"/>
    <w:rsid w:val="00B85DA2"/>
    <w:rsid w:val="00B86196"/>
    <w:rsid w:val="00B8621B"/>
    <w:rsid w:val="00B86372"/>
    <w:rsid w:val="00B86608"/>
    <w:rsid w:val="00B86B15"/>
    <w:rsid w:val="00B86C26"/>
    <w:rsid w:val="00B87847"/>
    <w:rsid w:val="00B878FD"/>
    <w:rsid w:val="00B90379"/>
    <w:rsid w:val="00B90477"/>
    <w:rsid w:val="00B90ACB"/>
    <w:rsid w:val="00B90BDA"/>
    <w:rsid w:val="00B90F9A"/>
    <w:rsid w:val="00B912CB"/>
    <w:rsid w:val="00B91988"/>
    <w:rsid w:val="00B91C51"/>
    <w:rsid w:val="00B921E9"/>
    <w:rsid w:val="00B924CE"/>
    <w:rsid w:val="00B9287C"/>
    <w:rsid w:val="00B92AA5"/>
    <w:rsid w:val="00B937FE"/>
    <w:rsid w:val="00B93904"/>
    <w:rsid w:val="00B93B80"/>
    <w:rsid w:val="00B93C09"/>
    <w:rsid w:val="00B93C66"/>
    <w:rsid w:val="00B94208"/>
    <w:rsid w:val="00B94C1C"/>
    <w:rsid w:val="00B9503B"/>
    <w:rsid w:val="00B955FE"/>
    <w:rsid w:val="00B9597E"/>
    <w:rsid w:val="00B96131"/>
    <w:rsid w:val="00B965EA"/>
    <w:rsid w:val="00B96744"/>
    <w:rsid w:val="00B970F2"/>
    <w:rsid w:val="00B97546"/>
    <w:rsid w:val="00B978E6"/>
    <w:rsid w:val="00B97931"/>
    <w:rsid w:val="00B97AB8"/>
    <w:rsid w:val="00B97D8E"/>
    <w:rsid w:val="00B97DA8"/>
    <w:rsid w:val="00B97DFF"/>
    <w:rsid w:val="00B97EFE"/>
    <w:rsid w:val="00BA005D"/>
    <w:rsid w:val="00BA012C"/>
    <w:rsid w:val="00BA0B9F"/>
    <w:rsid w:val="00BA0C2B"/>
    <w:rsid w:val="00BA1453"/>
    <w:rsid w:val="00BA1728"/>
    <w:rsid w:val="00BA1853"/>
    <w:rsid w:val="00BA1C12"/>
    <w:rsid w:val="00BA1C58"/>
    <w:rsid w:val="00BA1FB6"/>
    <w:rsid w:val="00BA23D2"/>
    <w:rsid w:val="00BA2454"/>
    <w:rsid w:val="00BA254C"/>
    <w:rsid w:val="00BA2BCF"/>
    <w:rsid w:val="00BA3287"/>
    <w:rsid w:val="00BA3644"/>
    <w:rsid w:val="00BA39A8"/>
    <w:rsid w:val="00BA439A"/>
    <w:rsid w:val="00BA4535"/>
    <w:rsid w:val="00BA4839"/>
    <w:rsid w:val="00BA49BD"/>
    <w:rsid w:val="00BA49C3"/>
    <w:rsid w:val="00BA4D90"/>
    <w:rsid w:val="00BA4F0C"/>
    <w:rsid w:val="00BA4F5B"/>
    <w:rsid w:val="00BA50A6"/>
    <w:rsid w:val="00BA5286"/>
    <w:rsid w:val="00BA565F"/>
    <w:rsid w:val="00BA5687"/>
    <w:rsid w:val="00BA5870"/>
    <w:rsid w:val="00BA58CF"/>
    <w:rsid w:val="00BA5FB1"/>
    <w:rsid w:val="00BA6419"/>
    <w:rsid w:val="00BA64C0"/>
    <w:rsid w:val="00BA6550"/>
    <w:rsid w:val="00BA6AB5"/>
    <w:rsid w:val="00BA6B27"/>
    <w:rsid w:val="00BA6E42"/>
    <w:rsid w:val="00BA6EC2"/>
    <w:rsid w:val="00BA7066"/>
    <w:rsid w:val="00BB000B"/>
    <w:rsid w:val="00BB0D10"/>
    <w:rsid w:val="00BB151A"/>
    <w:rsid w:val="00BB1720"/>
    <w:rsid w:val="00BB1FA3"/>
    <w:rsid w:val="00BB2388"/>
    <w:rsid w:val="00BB27DB"/>
    <w:rsid w:val="00BB287D"/>
    <w:rsid w:val="00BB2C73"/>
    <w:rsid w:val="00BB2D5E"/>
    <w:rsid w:val="00BB3642"/>
    <w:rsid w:val="00BB382D"/>
    <w:rsid w:val="00BB3982"/>
    <w:rsid w:val="00BB3CA5"/>
    <w:rsid w:val="00BB3DD6"/>
    <w:rsid w:val="00BB3F3D"/>
    <w:rsid w:val="00BB4405"/>
    <w:rsid w:val="00BB4562"/>
    <w:rsid w:val="00BB460B"/>
    <w:rsid w:val="00BB46F8"/>
    <w:rsid w:val="00BB490F"/>
    <w:rsid w:val="00BB4A3B"/>
    <w:rsid w:val="00BB547E"/>
    <w:rsid w:val="00BB59F6"/>
    <w:rsid w:val="00BB5B92"/>
    <w:rsid w:val="00BB5C1A"/>
    <w:rsid w:val="00BB5E11"/>
    <w:rsid w:val="00BB5EF0"/>
    <w:rsid w:val="00BB6000"/>
    <w:rsid w:val="00BB6218"/>
    <w:rsid w:val="00BB64A0"/>
    <w:rsid w:val="00BB654D"/>
    <w:rsid w:val="00BB6631"/>
    <w:rsid w:val="00BB66AB"/>
    <w:rsid w:val="00BB6814"/>
    <w:rsid w:val="00BB695B"/>
    <w:rsid w:val="00BB7217"/>
    <w:rsid w:val="00BB7BBA"/>
    <w:rsid w:val="00BC008D"/>
    <w:rsid w:val="00BC0857"/>
    <w:rsid w:val="00BC0AD6"/>
    <w:rsid w:val="00BC0B0F"/>
    <w:rsid w:val="00BC0D5E"/>
    <w:rsid w:val="00BC0FFE"/>
    <w:rsid w:val="00BC122E"/>
    <w:rsid w:val="00BC150C"/>
    <w:rsid w:val="00BC17CF"/>
    <w:rsid w:val="00BC1840"/>
    <w:rsid w:val="00BC1E37"/>
    <w:rsid w:val="00BC1E67"/>
    <w:rsid w:val="00BC207F"/>
    <w:rsid w:val="00BC23AC"/>
    <w:rsid w:val="00BC2488"/>
    <w:rsid w:val="00BC2B77"/>
    <w:rsid w:val="00BC2F74"/>
    <w:rsid w:val="00BC312E"/>
    <w:rsid w:val="00BC3584"/>
    <w:rsid w:val="00BC3695"/>
    <w:rsid w:val="00BC37C8"/>
    <w:rsid w:val="00BC3996"/>
    <w:rsid w:val="00BC3D93"/>
    <w:rsid w:val="00BC4579"/>
    <w:rsid w:val="00BC4714"/>
    <w:rsid w:val="00BC478D"/>
    <w:rsid w:val="00BC485C"/>
    <w:rsid w:val="00BC4D70"/>
    <w:rsid w:val="00BC4E4F"/>
    <w:rsid w:val="00BC574E"/>
    <w:rsid w:val="00BC5838"/>
    <w:rsid w:val="00BC5A46"/>
    <w:rsid w:val="00BC5C8E"/>
    <w:rsid w:val="00BC601C"/>
    <w:rsid w:val="00BC651D"/>
    <w:rsid w:val="00BC6DC2"/>
    <w:rsid w:val="00BC72A4"/>
    <w:rsid w:val="00BC7666"/>
    <w:rsid w:val="00BC7C3A"/>
    <w:rsid w:val="00BC7E02"/>
    <w:rsid w:val="00BD014D"/>
    <w:rsid w:val="00BD03E7"/>
    <w:rsid w:val="00BD0973"/>
    <w:rsid w:val="00BD099B"/>
    <w:rsid w:val="00BD0B36"/>
    <w:rsid w:val="00BD0E2E"/>
    <w:rsid w:val="00BD0E8A"/>
    <w:rsid w:val="00BD1175"/>
    <w:rsid w:val="00BD1509"/>
    <w:rsid w:val="00BD16EA"/>
    <w:rsid w:val="00BD175A"/>
    <w:rsid w:val="00BD1B48"/>
    <w:rsid w:val="00BD1EC3"/>
    <w:rsid w:val="00BD229F"/>
    <w:rsid w:val="00BD252E"/>
    <w:rsid w:val="00BD2611"/>
    <w:rsid w:val="00BD2F6E"/>
    <w:rsid w:val="00BD303B"/>
    <w:rsid w:val="00BD3274"/>
    <w:rsid w:val="00BD339C"/>
    <w:rsid w:val="00BD39AE"/>
    <w:rsid w:val="00BD3D15"/>
    <w:rsid w:val="00BD3F1A"/>
    <w:rsid w:val="00BD447B"/>
    <w:rsid w:val="00BD46D5"/>
    <w:rsid w:val="00BD4741"/>
    <w:rsid w:val="00BD5071"/>
    <w:rsid w:val="00BD520E"/>
    <w:rsid w:val="00BD522E"/>
    <w:rsid w:val="00BD5498"/>
    <w:rsid w:val="00BD5845"/>
    <w:rsid w:val="00BD59A5"/>
    <w:rsid w:val="00BD5C6C"/>
    <w:rsid w:val="00BD61F1"/>
    <w:rsid w:val="00BD673C"/>
    <w:rsid w:val="00BD6886"/>
    <w:rsid w:val="00BD6A0F"/>
    <w:rsid w:val="00BD6CBB"/>
    <w:rsid w:val="00BD6EFF"/>
    <w:rsid w:val="00BD6F1E"/>
    <w:rsid w:val="00BD727A"/>
    <w:rsid w:val="00BD7991"/>
    <w:rsid w:val="00BD7E0E"/>
    <w:rsid w:val="00BD7FE8"/>
    <w:rsid w:val="00BE011E"/>
    <w:rsid w:val="00BE0AAA"/>
    <w:rsid w:val="00BE15FB"/>
    <w:rsid w:val="00BE19FA"/>
    <w:rsid w:val="00BE1EA0"/>
    <w:rsid w:val="00BE1F3C"/>
    <w:rsid w:val="00BE2421"/>
    <w:rsid w:val="00BE2498"/>
    <w:rsid w:val="00BE2674"/>
    <w:rsid w:val="00BE28C7"/>
    <w:rsid w:val="00BE292F"/>
    <w:rsid w:val="00BE2A1A"/>
    <w:rsid w:val="00BE2D39"/>
    <w:rsid w:val="00BE2D63"/>
    <w:rsid w:val="00BE3BD0"/>
    <w:rsid w:val="00BE3CED"/>
    <w:rsid w:val="00BE3E06"/>
    <w:rsid w:val="00BE40D7"/>
    <w:rsid w:val="00BE442D"/>
    <w:rsid w:val="00BE4A4A"/>
    <w:rsid w:val="00BE4C06"/>
    <w:rsid w:val="00BE4ED6"/>
    <w:rsid w:val="00BE51AA"/>
    <w:rsid w:val="00BE54F3"/>
    <w:rsid w:val="00BE5946"/>
    <w:rsid w:val="00BE5F67"/>
    <w:rsid w:val="00BE6780"/>
    <w:rsid w:val="00BE6CE3"/>
    <w:rsid w:val="00BE6FA3"/>
    <w:rsid w:val="00BE731E"/>
    <w:rsid w:val="00BE7920"/>
    <w:rsid w:val="00BF001F"/>
    <w:rsid w:val="00BF00EC"/>
    <w:rsid w:val="00BF03D6"/>
    <w:rsid w:val="00BF06F6"/>
    <w:rsid w:val="00BF0A67"/>
    <w:rsid w:val="00BF109F"/>
    <w:rsid w:val="00BF133F"/>
    <w:rsid w:val="00BF17EA"/>
    <w:rsid w:val="00BF1E46"/>
    <w:rsid w:val="00BF263D"/>
    <w:rsid w:val="00BF2A3A"/>
    <w:rsid w:val="00BF2CD1"/>
    <w:rsid w:val="00BF2FBF"/>
    <w:rsid w:val="00BF4326"/>
    <w:rsid w:val="00BF4352"/>
    <w:rsid w:val="00BF482F"/>
    <w:rsid w:val="00BF4926"/>
    <w:rsid w:val="00BF4B6A"/>
    <w:rsid w:val="00BF4E1E"/>
    <w:rsid w:val="00BF5135"/>
    <w:rsid w:val="00BF51AF"/>
    <w:rsid w:val="00BF5550"/>
    <w:rsid w:val="00BF5BCC"/>
    <w:rsid w:val="00BF5D20"/>
    <w:rsid w:val="00BF6634"/>
    <w:rsid w:val="00BF67D0"/>
    <w:rsid w:val="00BF6F6C"/>
    <w:rsid w:val="00BF6FA7"/>
    <w:rsid w:val="00BF75EB"/>
    <w:rsid w:val="00BF791A"/>
    <w:rsid w:val="00BF7A57"/>
    <w:rsid w:val="00BF7FDB"/>
    <w:rsid w:val="00C00043"/>
    <w:rsid w:val="00C00124"/>
    <w:rsid w:val="00C00145"/>
    <w:rsid w:val="00C00312"/>
    <w:rsid w:val="00C00412"/>
    <w:rsid w:val="00C00828"/>
    <w:rsid w:val="00C009F5"/>
    <w:rsid w:val="00C01129"/>
    <w:rsid w:val="00C0150D"/>
    <w:rsid w:val="00C017CB"/>
    <w:rsid w:val="00C01AC7"/>
    <w:rsid w:val="00C01BCF"/>
    <w:rsid w:val="00C01C15"/>
    <w:rsid w:val="00C01DD9"/>
    <w:rsid w:val="00C01E0F"/>
    <w:rsid w:val="00C020AF"/>
    <w:rsid w:val="00C02239"/>
    <w:rsid w:val="00C022E1"/>
    <w:rsid w:val="00C0271E"/>
    <w:rsid w:val="00C0295E"/>
    <w:rsid w:val="00C029F9"/>
    <w:rsid w:val="00C033CB"/>
    <w:rsid w:val="00C033D9"/>
    <w:rsid w:val="00C03930"/>
    <w:rsid w:val="00C0398D"/>
    <w:rsid w:val="00C03C29"/>
    <w:rsid w:val="00C0408A"/>
    <w:rsid w:val="00C04615"/>
    <w:rsid w:val="00C05474"/>
    <w:rsid w:val="00C0547F"/>
    <w:rsid w:val="00C05567"/>
    <w:rsid w:val="00C05632"/>
    <w:rsid w:val="00C05752"/>
    <w:rsid w:val="00C05A5C"/>
    <w:rsid w:val="00C05B41"/>
    <w:rsid w:val="00C05C3D"/>
    <w:rsid w:val="00C05CE8"/>
    <w:rsid w:val="00C05F5B"/>
    <w:rsid w:val="00C06469"/>
    <w:rsid w:val="00C065A3"/>
    <w:rsid w:val="00C0660A"/>
    <w:rsid w:val="00C068E1"/>
    <w:rsid w:val="00C06C2A"/>
    <w:rsid w:val="00C06CB2"/>
    <w:rsid w:val="00C071AC"/>
    <w:rsid w:val="00C0728D"/>
    <w:rsid w:val="00C0736E"/>
    <w:rsid w:val="00C0748B"/>
    <w:rsid w:val="00C0768A"/>
    <w:rsid w:val="00C108D2"/>
    <w:rsid w:val="00C109A2"/>
    <w:rsid w:val="00C10A7D"/>
    <w:rsid w:val="00C10BCE"/>
    <w:rsid w:val="00C11501"/>
    <w:rsid w:val="00C11707"/>
    <w:rsid w:val="00C11E4C"/>
    <w:rsid w:val="00C1232D"/>
    <w:rsid w:val="00C1284B"/>
    <w:rsid w:val="00C12A7A"/>
    <w:rsid w:val="00C13195"/>
    <w:rsid w:val="00C131F2"/>
    <w:rsid w:val="00C1337B"/>
    <w:rsid w:val="00C137BB"/>
    <w:rsid w:val="00C13A00"/>
    <w:rsid w:val="00C13CF0"/>
    <w:rsid w:val="00C13D7C"/>
    <w:rsid w:val="00C14954"/>
    <w:rsid w:val="00C14E89"/>
    <w:rsid w:val="00C152AD"/>
    <w:rsid w:val="00C15422"/>
    <w:rsid w:val="00C163D7"/>
    <w:rsid w:val="00C165B9"/>
    <w:rsid w:val="00C16723"/>
    <w:rsid w:val="00C16887"/>
    <w:rsid w:val="00C169E4"/>
    <w:rsid w:val="00C16F84"/>
    <w:rsid w:val="00C1727A"/>
    <w:rsid w:val="00C174B5"/>
    <w:rsid w:val="00C17573"/>
    <w:rsid w:val="00C179B0"/>
    <w:rsid w:val="00C20245"/>
    <w:rsid w:val="00C20356"/>
    <w:rsid w:val="00C20823"/>
    <w:rsid w:val="00C20CA6"/>
    <w:rsid w:val="00C214E4"/>
    <w:rsid w:val="00C21510"/>
    <w:rsid w:val="00C21595"/>
    <w:rsid w:val="00C2174C"/>
    <w:rsid w:val="00C21AD6"/>
    <w:rsid w:val="00C220F2"/>
    <w:rsid w:val="00C2217B"/>
    <w:rsid w:val="00C224F6"/>
    <w:rsid w:val="00C226F9"/>
    <w:rsid w:val="00C22CE5"/>
    <w:rsid w:val="00C2312B"/>
    <w:rsid w:val="00C232E9"/>
    <w:rsid w:val="00C23398"/>
    <w:rsid w:val="00C235D5"/>
    <w:rsid w:val="00C236DE"/>
    <w:rsid w:val="00C238F3"/>
    <w:rsid w:val="00C23A14"/>
    <w:rsid w:val="00C23B23"/>
    <w:rsid w:val="00C23FF5"/>
    <w:rsid w:val="00C24280"/>
    <w:rsid w:val="00C2428B"/>
    <w:rsid w:val="00C24296"/>
    <w:rsid w:val="00C2433D"/>
    <w:rsid w:val="00C24710"/>
    <w:rsid w:val="00C24D11"/>
    <w:rsid w:val="00C24E4C"/>
    <w:rsid w:val="00C2519A"/>
    <w:rsid w:val="00C25265"/>
    <w:rsid w:val="00C2546B"/>
    <w:rsid w:val="00C25603"/>
    <w:rsid w:val="00C2573F"/>
    <w:rsid w:val="00C258A0"/>
    <w:rsid w:val="00C259B1"/>
    <w:rsid w:val="00C25DFC"/>
    <w:rsid w:val="00C26989"/>
    <w:rsid w:val="00C26C22"/>
    <w:rsid w:val="00C27274"/>
    <w:rsid w:val="00C27B03"/>
    <w:rsid w:val="00C3041B"/>
    <w:rsid w:val="00C304E9"/>
    <w:rsid w:val="00C30517"/>
    <w:rsid w:val="00C305E3"/>
    <w:rsid w:val="00C30652"/>
    <w:rsid w:val="00C3089B"/>
    <w:rsid w:val="00C30F8B"/>
    <w:rsid w:val="00C314AB"/>
    <w:rsid w:val="00C31755"/>
    <w:rsid w:val="00C31A6A"/>
    <w:rsid w:val="00C31A6B"/>
    <w:rsid w:val="00C31B1F"/>
    <w:rsid w:val="00C31D72"/>
    <w:rsid w:val="00C31F2B"/>
    <w:rsid w:val="00C31FFD"/>
    <w:rsid w:val="00C320FF"/>
    <w:rsid w:val="00C3250B"/>
    <w:rsid w:val="00C32628"/>
    <w:rsid w:val="00C328AD"/>
    <w:rsid w:val="00C32A4E"/>
    <w:rsid w:val="00C33101"/>
    <w:rsid w:val="00C3382A"/>
    <w:rsid w:val="00C33866"/>
    <w:rsid w:val="00C3391B"/>
    <w:rsid w:val="00C339DE"/>
    <w:rsid w:val="00C33A06"/>
    <w:rsid w:val="00C34B40"/>
    <w:rsid w:val="00C35836"/>
    <w:rsid w:val="00C35B67"/>
    <w:rsid w:val="00C35C9D"/>
    <w:rsid w:val="00C3629F"/>
    <w:rsid w:val="00C36330"/>
    <w:rsid w:val="00C369EA"/>
    <w:rsid w:val="00C36CFC"/>
    <w:rsid w:val="00C370E9"/>
    <w:rsid w:val="00C373B6"/>
    <w:rsid w:val="00C37589"/>
    <w:rsid w:val="00C37D2B"/>
    <w:rsid w:val="00C40154"/>
    <w:rsid w:val="00C409E5"/>
    <w:rsid w:val="00C409F3"/>
    <w:rsid w:val="00C40D35"/>
    <w:rsid w:val="00C410CB"/>
    <w:rsid w:val="00C41892"/>
    <w:rsid w:val="00C418CB"/>
    <w:rsid w:val="00C41A36"/>
    <w:rsid w:val="00C41B71"/>
    <w:rsid w:val="00C41CD3"/>
    <w:rsid w:val="00C41FA9"/>
    <w:rsid w:val="00C42608"/>
    <w:rsid w:val="00C42927"/>
    <w:rsid w:val="00C42CE9"/>
    <w:rsid w:val="00C42FF1"/>
    <w:rsid w:val="00C43438"/>
    <w:rsid w:val="00C4381D"/>
    <w:rsid w:val="00C43A52"/>
    <w:rsid w:val="00C43A5B"/>
    <w:rsid w:val="00C43C74"/>
    <w:rsid w:val="00C43D8B"/>
    <w:rsid w:val="00C43E2A"/>
    <w:rsid w:val="00C44264"/>
    <w:rsid w:val="00C44B54"/>
    <w:rsid w:val="00C4503F"/>
    <w:rsid w:val="00C45AE1"/>
    <w:rsid w:val="00C45D5D"/>
    <w:rsid w:val="00C4606E"/>
    <w:rsid w:val="00C46219"/>
    <w:rsid w:val="00C46251"/>
    <w:rsid w:val="00C46881"/>
    <w:rsid w:val="00C46B1D"/>
    <w:rsid w:val="00C46F70"/>
    <w:rsid w:val="00C47039"/>
    <w:rsid w:val="00C4790F"/>
    <w:rsid w:val="00C47964"/>
    <w:rsid w:val="00C47FC0"/>
    <w:rsid w:val="00C50447"/>
    <w:rsid w:val="00C509D3"/>
    <w:rsid w:val="00C50C71"/>
    <w:rsid w:val="00C50F27"/>
    <w:rsid w:val="00C51835"/>
    <w:rsid w:val="00C5187E"/>
    <w:rsid w:val="00C5189F"/>
    <w:rsid w:val="00C519B1"/>
    <w:rsid w:val="00C51A2A"/>
    <w:rsid w:val="00C51A2C"/>
    <w:rsid w:val="00C51BC5"/>
    <w:rsid w:val="00C51C28"/>
    <w:rsid w:val="00C51DEE"/>
    <w:rsid w:val="00C5217E"/>
    <w:rsid w:val="00C52710"/>
    <w:rsid w:val="00C528CC"/>
    <w:rsid w:val="00C535F4"/>
    <w:rsid w:val="00C53730"/>
    <w:rsid w:val="00C538A8"/>
    <w:rsid w:val="00C53ABD"/>
    <w:rsid w:val="00C53AD3"/>
    <w:rsid w:val="00C53C28"/>
    <w:rsid w:val="00C53C6B"/>
    <w:rsid w:val="00C53C94"/>
    <w:rsid w:val="00C541A9"/>
    <w:rsid w:val="00C54346"/>
    <w:rsid w:val="00C54896"/>
    <w:rsid w:val="00C54901"/>
    <w:rsid w:val="00C54AAB"/>
    <w:rsid w:val="00C553EF"/>
    <w:rsid w:val="00C55583"/>
    <w:rsid w:val="00C5565C"/>
    <w:rsid w:val="00C55AC0"/>
    <w:rsid w:val="00C55AF0"/>
    <w:rsid w:val="00C55EFF"/>
    <w:rsid w:val="00C56582"/>
    <w:rsid w:val="00C565AB"/>
    <w:rsid w:val="00C566D9"/>
    <w:rsid w:val="00C568FB"/>
    <w:rsid w:val="00C5739F"/>
    <w:rsid w:val="00C57741"/>
    <w:rsid w:val="00C57CE3"/>
    <w:rsid w:val="00C6006D"/>
    <w:rsid w:val="00C602FA"/>
    <w:rsid w:val="00C604D9"/>
    <w:rsid w:val="00C6074F"/>
    <w:rsid w:val="00C60AD9"/>
    <w:rsid w:val="00C60C04"/>
    <w:rsid w:val="00C60E5C"/>
    <w:rsid w:val="00C61C4E"/>
    <w:rsid w:val="00C623DA"/>
    <w:rsid w:val="00C62568"/>
    <w:rsid w:val="00C6296C"/>
    <w:rsid w:val="00C62989"/>
    <w:rsid w:val="00C63005"/>
    <w:rsid w:val="00C63390"/>
    <w:rsid w:val="00C633E1"/>
    <w:rsid w:val="00C63898"/>
    <w:rsid w:val="00C63A57"/>
    <w:rsid w:val="00C63BDC"/>
    <w:rsid w:val="00C64056"/>
    <w:rsid w:val="00C64143"/>
    <w:rsid w:val="00C6434D"/>
    <w:rsid w:val="00C648CC"/>
    <w:rsid w:val="00C649E8"/>
    <w:rsid w:val="00C64C8F"/>
    <w:rsid w:val="00C652E5"/>
    <w:rsid w:val="00C65967"/>
    <w:rsid w:val="00C65F13"/>
    <w:rsid w:val="00C66908"/>
    <w:rsid w:val="00C66948"/>
    <w:rsid w:val="00C66999"/>
    <w:rsid w:val="00C66F48"/>
    <w:rsid w:val="00C6706F"/>
    <w:rsid w:val="00C670FC"/>
    <w:rsid w:val="00C67446"/>
    <w:rsid w:val="00C67B2D"/>
    <w:rsid w:val="00C67CE1"/>
    <w:rsid w:val="00C67CEE"/>
    <w:rsid w:val="00C67DBA"/>
    <w:rsid w:val="00C67F1E"/>
    <w:rsid w:val="00C67FFE"/>
    <w:rsid w:val="00C703C7"/>
    <w:rsid w:val="00C70482"/>
    <w:rsid w:val="00C706DD"/>
    <w:rsid w:val="00C70962"/>
    <w:rsid w:val="00C70ADC"/>
    <w:rsid w:val="00C70B79"/>
    <w:rsid w:val="00C712B1"/>
    <w:rsid w:val="00C7135F"/>
    <w:rsid w:val="00C71674"/>
    <w:rsid w:val="00C71B53"/>
    <w:rsid w:val="00C72EC9"/>
    <w:rsid w:val="00C733F7"/>
    <w:rsid w:val="00C73AE7"/>
    <w:rsid w:val="00C73CAA"/>
    <w:rsid w:val="00C73DC6"/>
    <w:rsid w:val="00C74246"/>
    <w:rsid w:val="00C7427E"/>
    <w:rsid w:val="00C742BD"/>
    <w:rsid w:val="00C743EE"/>
    <w:rsid w:val="00C749A8"/>
    <w:rsid w:val="00C74B97"/>
    <w:rsid w:val="00C75112"/>
    <w:rsid w:val="00C75161"/>
    <w:rsid w:val="00C753E3"/>
    <w:rsid w:val="00C75B09"/>
    <w:rsid w:val="00C75B0C"/>
    <w:rsid w:val="00C75D52"/>
    <w:rsid w:val="00C7697F"/>
    <w:rsid w:val="00C76BE7"/>
    <w:rsid w:val="00C76F89"/>
    <w:rsid w:val="00C7706E"/>
    <w:rsid w:val="00C7716A"/>
    <w:rsid w:val="00C77339"/>
    <w:rsid w:val="00C7771B"/>
    <w:rsid w:val="00C77727"/>
    <w:rsid w:val="00C8079F"/>
    <w:rsid w:val="00C80809"/>
    <w:rsid w:val="00C81135"/>
    <w:rsid w:val="00C8136C"/>
    <w:rsid w:val="00C81516"/>
    <w:rsid w:val="00C81594"/>
    <w:rsid w:val="00C81716"/>
    <w:rsid w:val="00C81A0A"/>
    <w:rsid w:val="00C82047"/>
    <w:rsid w:val="00C8226F"/>
    <w:rsid w:val="00C82A8D"/>
    <w:rsid w:val="00C82F28"/>
    <w:rsid w:val="00C82FAC"/>
    <w:rsid w:val="00C82FFA"/>
    <w:rsid w:val="00C8334B"/>
    <w:rsid w:val="00C83608"/>
    <w:rsid w:val="00C83731"/>
    <w:rsid w:val="00C84032"/>
    <w:rsid w:val="00C8459B"/>
    <w:rsid w:val="00C84652"/>
    <w:rsid w:val="00C84A1B"/>
    <w:rsid w:val="00C84F41"/>
    <w:rsid w:val="00C84F64"/>
    <w:rsid w:val="00C84FA3"/>
    <w:rsid w:val="00C85521"/>
    <w:rsid w:val="00C856C0"/>
    <w:rsid w:val="00C857BF"/>
    <w:rsid w:val="00C85B05"/>
    <w:rsid w:val="00C85B52"/>
    <w:rsid w:val="00C85BA8"/>
    <w:rsid w:val="00C85C80"/>
    <w:rsid w:val="00C863EE"/>
    <w:rsid w:val="00C86924"/>
    <w:rsid w:val="00C86A85"/>
    <w:rsid w:val="00C86C2F"/>
    <w:rsid w:val="00C8712B"/>
    <w:rsid w:val="00C87AD0"/>
    <w:rsid w:val="00C90981"/>
    <w:rsid w:val="00C90E74"/>
    <w:rsid w:val="00C914AC"/>
    <w:rsid w:val="00C914C4"/>
    <w:rsid w:val="00C91D69"/>
    <w:rsid w:val="00C91E47"/>
    <w:rsid w:val="00C91E99"/>
    <w:rsid w:val="00C9220C"/>
    <w:rsid w:val="00C92646"/>
    <w:rsid w:val="00C926C5"/>
    <w:rsid w:val="00C9273C"/>
    <w:rsid w:val="00C928F4"/>
    <w:rsid w:val="00C92A13"/>
    <w:rsid w:val="00C92B3E"/>
    <w:rsid w:val="00C9316A"/>
    <w:rsid w:val="00C936CE"/>
    <w:rsid w:val="00C937E7"/>
    <w:rsid w:val="00C93B5E"/>
    <w:rsid w:val="00C943CD"/>
    <w:rsid w:val="00C94905"/>
    <w:rsid w:val="00C9498D"/>
    <w:rsid w:val="00C94D51"/>
    <w:rsid w:val="00C95510"/>
    <w:rsid w:val="00C95667"/>
    <w:rsid w:val="00C95AC5"/>
    <w:rsid w:val="00C95B09"/>
    <w:rsid w:val="00C95D8D"/>
    <w:rsid w:val="00C95FE9"/>
    <w:rsid w:val="00C9648B"/>
    <w:rsid w:val="00C96926"/>
    <w:rsid w:val="00C96E84"/>
    <w:rsid w:val="00C97460"/>
    <w:rsid w:val="00C975F2"/>
    <w:rsid w:val="00C97AE9"/>
    <w:rsid w:val="00C97C7F"/>
    <w:rsid w:val="00C97FCD"/>
    <w:rsid w:val="00CA072D"/>
    <w:rsid w:val="00CA08BF"/>
    <w:rsid w:val="00CA0B1A"/>
    <w:rsid w:val="00CA1109"/>
    <w:rsid w:val="00CA1A5C"/>
    <w:rsid w:val="00CA1B94"/>
    <w:rsid w:val="00CA1C82"/>
    <w:rsid w:val="00CA1DFD"/>
    <w:rsid w:val="00CA1F38"/>
    <w:rsid w:val="00CA1FC8"/>
    <w:rsid w:val="00CA2283"/>
    <w:rsid w:val="00CA25C6"/>
    <w:rsid w:val="00CA2644"/>
    <w:rsid w:val="00CA280A"/>
    <w:rsid w:val="00CA2850"/>
    <w:rsid w:val="00CA29D9"/>
    <w:rsid w:val="00CA2AEF"/>
    <w:rsid w:val="00CA2B6B"/>
    <w:rsid w:val="00CA2CA3"/>
    <w:rsid w:val="00CA325F"/>
    <w:rsid w:val="00CA33B8"/>
    <w:rsid w:val="00CA3981"/>
    <w:rsid w:val="00CA3A95"/>
    <w:rsid w:val="00CA3EB1"/>
    <w:rsid w:val="00CA3FEC"/>
    <w:rsid w:val="00CA4013"/>
    <w:rsid w:val="00CA484D"/>
    <w:rsid w:val="00CA4978"/>
    <w:rsid w:val="00CA4EF0"/>
    <w:rsid w:val="00CA4F5F"/>
    <w:rsid w:val="00CA5DBD"/>
    <w:rsid w:val="00CA6001"/>
    <w:rsid w:val="00CA6454"/>
    <w:rsid w:val="00CA6513"/>
    <w:rsid w:val="00CA66E6"/>
    <w:rsid w:val="00CA68A2"/>
    <w:rsid w:val="00CA6DD8"/>
    <w:rsid w:val="00CA74FA"/>
    <w:rsid w:val="00CA7567"/>
    <w:rsid w:val="00CA75EB"/>
    <w:rsid w:val="00CA7EB2"/>
    <w:rsid w:val="00CB020B"/>
    <w:rsid w:val="00CB07E0"/>
    <w:rsid w:val="00CB09C5"/>
    <w:rsid w:val="00CB0FF9"/>
    <w:rsid w:val="00CB13D1"/>
    <w:rsid w:val="00CB1582"/>
    <w:rsid w:val="00CB1AA3"/>
    <w:rsid w:val="00CB1AFF"/>
    <w:rsid w:val="00CB1B30"/>
    <w:rsid w:val="00CB1E92"/>
    <w:rsid w:val="00CB22B7"/>
    <w:rsid w:val="00CB2AED"/>
    <w:rsid w:val="00CB2E13"/>
    <w:rsid w:val="00CB2F40"/>
    <w:rsid w:val="00CB3134"/>
    <w:rsid w:val="00CB31DA"/>
    <w:rsid w:val="00CB37BF"/>
    <w:rsid w:val="00CB394C"/>
    <w:rsid w:val="00CB39FA"/>
    <w:rsid w:val="00CB3B9D"/>
    <w:rsid w:val="00CB3C02"/>
    <w:rsid w:val="00CB4400"/>
    <w:rsid w:val="00CB4450"/>
    <w:rsid w:val="00CB4D4F"/>
    <w:rsid w:val="00CB4D82"/>
    <w:rsid w:val="00CB4EBA"/>
    <w:rsid w:val="00CB5032"/>
    <w:rsid w:val="00CB558C"/>
    <w:rsid w:val="00CB59DD"/>
    <w:rsid w:val="00CB61EE"/>
    <w:rsid w:val="00CB6481"/>
    <w:rsid w:val="00CB658C"/>
    <w:rsid w:val="00CB669E"/>
    <w:rsid w:val="00CB7226"/>
    <w:rsid w:val="00CB73E8"/>
    <w:rsid w:val="00CB76E7"/>
    <w:rsid w:val="00CB776A"/>
    <w:rsid w:val="00CB78BD"/>
    <w:rsid w:val="00CB7973"/>
    <w:rsid w:val="00CB7DF6"/>
    <w:rsid w:val="00CC083B"/>
    <w:rsid w:val="00CC0A9D"/>
    <w:rsid w:val="00CC100F"/>
    <w:rsid w:val="00CC1245"/>
    <w:rsid w:val="00CC15B9"/>
    <w:rsid w:val="00CC200B"/>
    <w:rsid w:val="00CC2087"/>
    <w:rsid w:val="00CC29AA"/>
    <w:rsid w:val="00CC2CFA"/>
    <w:rsid w:val="00CC303F"/>
    <w:rsid w:val="00CC31CB"/>
    <w:rsid w:val="00CC3704"/>
    <w:rsid w:val="00CC3807"/>
    <w:rsid w:val="00CC3C96"/>
    <w:rsid w:val="00CC41B4"/>
    <w:rsid w:val="00CC4799"/>
    <w:rsid w:val="00CC4839"/>
    <w:rsid w:val="00CC4935"/>
    <w:rsid w:val="00CC4BD8"/>
    <w:rsid w:val="00CC4C82"/>
    <w:rsid w:val="00CC532A"/>
    <w:rsid w:val="00CC5403"/>
    <w:rsid w:val="00CC576A"/>
    <w:rsid w:val="00CC57C6"/>
    <w:rsid w:val="00CC6A3E"/>
    <w:rsid w:val="00CC6BD1"/>
    <w:rsid w:val="00CC6C01"/>
    <w:rsid w:val="00CC6C42"/>
    <w:rsid w:val="00CC6DEB"/>
    <w:rsid w:val="00CC75AA"/>
    <w:rsid w:val="00CC7840"/>
    <w:rsid w:val="00CC7857"/>
    <w:rsid w:val="00CC7D89"/>
    <w:rsid w:val="00CC7DF2"/>
    <w:rsid w:val="00CD01B9"/>
    <w:rsid w:val="00CD01F4"/>
    <w:rsid w:val="00CD077C"/>
    <w:rsid w:val="00CD0ACC"/>
    <w:rsid w:val="00CD0C10"/>
    <w:rsid w:val="00CD1082"/>
    <w:rsid w:val="00CD18E3"/>
    <w:rsid w:val="00CD1BEA"/>
    <w:rsid w:val="00CD21CC"/>
    <w:rsid w:val="00CD2240"/>
    <w:rsid w:val="00CD2E1E"/>
    <w:rsid w:val="00CD2FD7"/>
    <w:rsid w:val="00CD3004"/>
    <w:rsid w:val="00CD342A"/>
    <w:rsid w:val="00CD346E"/>
    <w:rsid w:val="00CD355B"/>
    <w:rsid w:val="00CD35DD"/>
    <w:rsid w:val="00CD3633"/>
    <w:rsid w:val="00CD3940"/>
    <w:rsid w:val="00CD3AAB"/>
    <w:rsid w:val="00CD3BB9"/>
    <w:rsid w:val="00CD3C78"/>
    <w:rsid w:val="00CD3D52"/>
    <w:rsid w:val="00CD4363"/>
    <w:rsid w:val="00CD44A0"/>
    <w:rsid w:val="00CD455A"/>
    <w:rsid w:val="00CD4B20"/>
    <w:rsid w:val="00CD4FEA"/>
    <w:rsid w:val="00CD506B"/>
    <w:rsid w:val="00CD52DD"/>
    <w:rsid w:val="00CD5502"/>
    <w:rsid w:val="00CD628C"/>
    <w:rsid w:val="00CD6461"/>
    <w:rsid w:val="00CD666F"/>
    <w:rsid w:val="00CD6671"/>
    <w:rsid w:val="00CD687F"/>
    <w:rsid w:val="00CD68D1"/>
    <w:rsid w:val="00CD6CBB"/>
    <w:rsid w:val="00CD6E3E"/>
    <w:rsid w:val="00CD796C"/>
    <w:rsid w:val="00CD7E7C"/>
    <w:rsid w:val="00CE0230"/>
    <w:rsid w:val="00CE04A8"/>
    <w:rsid w:val="00CE0A6D"/>
    <w:rsid w:val="00CE126D"/>
    <w:rsid w:val="00CE18A4"/>
    <w:rsid w:val="00CE1927"/>
    <w:rsid w:val="00CE1AD8"/>
    <w:rsid w:val="00CE2356"/>
    <w:rsid w:val="00CE257C"/>
    <w:rsid w:val="00CE267C"/>
    <w:rsid w:val="00CE27E1"/>
    <w:rsid w:val="00CE29D1"/>
    <w:rsid w:val="00CE2CDB"/>
    <w:rsid w:val="00CE2E99"/>
    <w:rsid w:val="00CE2F14"/>
    <w:rsid w:val="00CE377F"/>
    <w:rsid w:val="00CE3D37"/>
    <w:rsid w:val="00CE3EDF"/>
    <w:rsid w:val="00CE4043"/>
    <w:rsid w:val="00CE421A"/>
    <w:rsid w:val="00CE44BA"/>
    <w:rsid w:val="00CE47B4"/>
    <w:rsid w:val="00CE4BD9"/>
    <w:rsid w:val="00CE51A4"/>
    <w:rsid w:val="00CE51EC"/>
    <w:rsid w:val="00CE52B8"/>
    <w:rsid w:val="00CE557E"/>
    <w:rsid w:val="00CE55D0"/>
    <w:rsid w:val="00CE560A"/>
    <w:rsid w:val="00CE59A4"/>
    <w:rsid w:val="00CE5C0B"/>
    <w:rsid w:val="00CE5C98"/>
    <w:rsid w:val="00CE6281"/>
    <w:rsid w:val="00CE6339"/>
    <w:rsid w:val="00CE6A0B"/>
    <w:rsid w:val="00CE6B1B"/>
    <w:rsid w:val="00CE6F47"/>
    <w:rsid w:val="00CE71AF"/>
    <w:rsid w:val="00CE71C6"/>
    <w:rsid w:val="00CE71E0"/>
    <w:rsid w:val="00CE722F"/>
    <w:rsid w:val="00CE73AC"/>
    <w:rsid w:val="00CE75E4"/>
    <w:rsid w:val="00CE76F7"/>
    <w:rsid w:val="00CE7B04"/>
    <w:rsid w:val="00CE7BF6"/>
    <w:rsid w:val="00CE7CD5"/>
    <w:rsid w:val="00CE7E33"/>
    <w:rsid w:val="00CF00C9"/>
    <w:rsid w:val="00CF042D"/>
    <w:rsid w:val="00CF0950"/>
    <w:rsid w:val="00CF0DC9"/>
    <w:rsid w:val="00CF15ED"/>
    <w:rsid w:val="00CF173B"/>
    <w:rsid w:val="00CF18D8"/>
    <w:rsid w:val="00CF19EC"/>
    <w:rsid w:val="00CF2251"/>
    <w:rsid w:val="00CF2652"/>
    <w:rsid w:val="00CF300B"/>
    <w:rsid w:val="00CF3A91"/>
    <w:rsid w:val="00CF3B07"/>
    <w:rsid w:val="00CF3D3F"/>
    <w:rsid w:val="00CF3FAF"/>
    <w:rsid w:val="00CF4273"/>
    <w:rsid w:val="00CF4293"/>
    <w:rsid w:val="00CF45E7"/>
    <w:rsid w:val="00CF491A"/>
    <w:rsid w:val="00CF4C13"/>
    <w:rsid w:val="00CF58EA"/>
    <w:rsid w:val="00CF6033"/>
    <w:rsid w:val="00CF6236"/>
    <w:rsid w:val="00CF62E0"/>
    <w:rsid w:val="00CF6384"/>
    <w:rsid w:val="00CF6792"/>
    <w:rsid w:val="00CF6902"/>
    <w:rsid w:val="00CF6BE0"/>
    <w:rsid w:val="00CF7A6D"/>
    <w:rsid w:val="00D0091B"/>
    <w:rsid w:val="00D009C5"/>
    <w:rsid w:val="00D00A59"/>
    <w:rsid w:val="00D00C3B"/>
    <w:rsid w:val="00D00C4E"/>
    <w:rsid w:val="00D00CB7"/>
    <w:rsid w:val="00D012CD"/>
    <w:rsid w:val="00D01AE5"/>
    <w:rsid w:val="00D01C61"/>
    <w:rsid w:val="00D01D4B"/>
    <w:rsid w:val="00D028A9"/>
    <w:rsid w:val="00D02968"/>
    <w:rsid w:val="00D02B8F"/>
    <w:rsid w:val="00D02F81"/>
    <w:rsid w:val="00D030F1"/>
    <w:rsid w:val="00D03297"/>
    <w:rsid w:val="00D03336"/>
    <w:rsid w:val="00D03675"/>
    <w:rsid w:val="00D0401F"/>
    <w:rsid w:val="00D04054"/>
    <w:rsid w:val="00D04433"/>
    <w:rsid w:val="00D0456C"/>
    <w:rsid w:val="00D04784"/>
    <w:rsid w:val="00D0486B"/>
    <w:rsid w:val="00D04A6B"/>
    <w:rsid w:val="00D04CC4"/>
    <w:rsid w:val="00D05A7A"/>
    <w:rsid w:val="00D05F85"/>
    <w:rsid w:val="00D06381"/>
    <w:rsid w:val="00D0679E"/>
    <w:rsid w:val="00D069F0"/>
    <w:rsid w:val="00D06BE3"/>
    <w:rsid w:val="00D06C60"/>
    <w:rsid w:val="00D06E88"/>
    <w:rsid w:val="00D070D8"/>
    <w:rsid w:val="00D07528"/>
    <w:rsid w:val="00D076D9"/>
    <w:rsid w:val="00D078C0"/>
    <w:rsid w:val="00D079ED"/>
    <w:rsid w:val="00D07A1C"/>
    <w:rsid w:val="00D1010C"/>
    <w:rsid w:val="00D10774"/>
    <w:rsid w:val="00D10861"/>
    <w:rsid w:val="00D10B05"/>
    <w:rsid w:val="00D10D64"/>
    <w:rsid w:val="00D11729"/>
    <w:rsid w:val="00D11BE6"/>
    <w:rsid w:val="00D11CA1"/>
    <w:rsid w:val="00D11F90"/>
    <w:rsid w:val="00D124AF"/>
    <w:rsid w:val="00D12727"/>
    <w:rsid w:val="00D12A33"/>
    <w:rsid w:val="00D12A55"/>
    <w:rsid w:val="00D12E75"/>
    <w:rsid w:val="00D13527"/>
    <w:rsid w:val="00D138D4"/>
    <w:rsid w:val="00D13CDF"/>
    <w:rsid w:val="00D140DE"/>
    <w:rsid w:val="00D14171"/>
    <w:rsid w:val="00D143CF"/>
    <w:rsid w:val="00D14CD8"/>
    <w:rsid w:val="00D150C0"/>
    <w:rsid w:val="00D155E2"/>
    <w:rsid w:val="00D15702"/>
    <w:rsid w:val="00D15E4E"/>
    <w:rsid w:val="00D16017"/>
    <w:rsid w:val="00D1601E"/>
    <w:rsid w:val="00D169DE"/>
    <w:rsid w:val="00D16A0B"/>
    <w:rsid w:val="00D16F56"/>
    <w:rsid w:val="00D16FD3"/>
    <w:rsid w:val="00D175DD"/>
    <w:rsid w:val="00D17601"/>
    <w:rsid w:val="00D17766"/>
    <w:rsid w:val="00D17F4C"/>
    <w:rsid w:val="00D20563"/>
    <w:rsid w:val="00D20A89"/>
    <w:rsid w:val="00D20C90"/>
    <w:rsid w:val="00D20D6E"/>
    <w:rsid w:val="00D20DD4"/>
    <w:rsid w:val="00D20E88"/>
    <w:rsid w:val="00D20E98"/>
    <w:rsid w:val="00D21300"/>
    <w:rsid w:val="00D21790"/>
    <w:rsid w:val="00D21D77"/>
    <w:rsid w:val="00D2203A"/>
    <w:rsid w:val="00D2238D"/>
    <w:rsid w:val="00D2254F"/>
    <w:rsid w:val="00D22578"/>
    <w:rsid w:val="00D22CE9"/>
    <w:rsid w:val="00D22F7B"/>
    <w:rsid w:val="00D22FC8"/>
    <w:rsid w:val="00D230DC"/>
    <w:rsid w:val="00D233D7"/>
    <w:rsid w:val="00D235B7"/>
    <w:rsid w:val="00D239B1"/>
    <w:rsid w:val="00D241B3"/>
    <w:rsid w:val="00D25261"/>
    <w:rsid w:val="00D25314"/>
    <w:rsid w:val="00D254E1"/>
    <w:rsid w:val="00D2583E"/>
    <w:rsid w:val="00D25867"/>
    <w:rsid w:val="00D2599D"/>
    <w:rsid w:val="00D2691B"/>
    <w:rsid w:val="00D26A7A"/>
    <w:rsid w:val="00D26C9A"/>
    <w:rsid w:val="00D26CED"/>
    <w:rsid w:val="00D270AA"/>
    <w:rsid w:val="00D27129"/>
    <w:rsid w:val="00D27167"/>
    <w:rsid w:val="00D2721D"/>
    <w:rsid w:val="00D277F3"/>
    <w:rsid w:val="00D27F9D"/>
    <w:rsid w:val="00D303E8"/>
    <w:rsid w:val="00D30626"/>
    <w:rsid w:val="00D30B24"/>
    <w:rsid w:val="00D30ED6"/>
    <w:rsid w:val="00D31BA6"/>
    <w:rsid w:val="00D31FFC"/>
    <w:rsid w:val="00D32567"/>
    <w:rsid w:val="00D3269F"/>
    <w:rsid w:val="00D331FB"/>
    <w:rsid w:val="00D33272"/>
    <w:rsid w:val="00D335BC"/>
    <w:rsid w:val="00D335E1"/>
    <w:rsid w:val="00D338A2"/>
    <w:rsid w:val="00D33A23"/>
    <w:rsid w:val="00D33ADF"/>
    <w:rsid w:val="00D33BD4"/>
    <w:rsid w:val="00D33C75"/>
    <w:rsid w:val="00D3426D"/>
    <w:rsid w:val="00D3466E"/>
    <w:rsid w:val="00D35423"/>
    <w:rsid w:val="00D3545E"/>
    <w:rsid w:val="00D354F7"/>
    <w:rsid w:val="00D359E7"/>
    <w:rsid w:val="00D35CE8"/>
    <w:rsid w:val="00D35FEA"/>
    <w:rsid w:val="00D3667D"/>
    <w:rsid w:val="00D366E4"/>
    <w:rsid w:val="00D368AF"/>
    <w:rsid w:val="00D36DE6"/>
    <w:rsid w:val="00D37A7D"/>
    <w:rsid w:val="00D37C5F"/>
    <w:rsid w:val="00D40016"/>
    <w:rsid w:val="00D40AE7"/>
    <w:rsid w:val="00D40CF7"/>
    <w:rsid w:val="00D411D1"/>
    <w:rsid w:val="00D412C7"/>
    <w:rsid w:val="00D41718"/>
    <w:rsid w:val="00D418DD"/>
    <w:rsid w:val="00D418F5"/>
    <w:rsid w:val="00D41ABA"/>
    <w:rsid w:val="00D41E90"/>
    <w:rsid w:val="00D423AC"/>
    <w:rsid w:val="00D428EA"/>
    <w:rsid w:val="00D42B58"/>
    <w:rsid w:val="00D42B5B"/>
    <w:rsid w:val="00D42CE5"/>
    <w:rsid w:val="00D43057"/>
    <w:rsid w:val="00D43402"/>
    <w:rsid w:val="00D43517"/>
    <w:rsid w:val="00D438F7"/>
    <w:rsid w:val="00D43C08"/>
    <w:rsid w:val="00D43F9F"/>
    <w:rsid w:val="00D4404B"/>
    <w:rsid w:val="00D4417D"/>
    <w:rsid w:val="00D447AC"/>
    <w:rsid w:val="00D4491C"/>
    <w:rsid w:val="00D44B15"/>
    <w:rsid w:val="00D44BED"/>
    <w:rsid w:val="00D44C94"/>
    <w:rsid w:val="00D44DC6"/>
    <w:rsid w:val="00D44FE3"/>
    <w:rsid w:val="00D45272"/>
    <w:rsid w:val="00D453D8"/>
    <w:rsid w:val="00D45701"/>
    <w:rsid w:val="00D45765"/>
    <w:rsid w:val="00D45A3A"/>
    <w:rsid w:val="00D46116"/>
    <w:rsid w:val="00D462BF"/>
    <w:rsid w:val="00D46D92"/>
    <w:rsid w:val="00D46E1E"/>
    <w:rsid w:val="00D46E7A"/>
    <w:rsid w:val="00D472D4"/>
    <w:rsid w:val="00D476EA"/>
    <w:rsid w:val="00D5041B"/>
    <w:rsid w:val="00D50D7F"/>
    <w:rsid w:val="00D50F6A"/>
    <w:rsid w:val="00D512E4"/>
    <w:rsid w:val="00D514E5"/>
    <w:rsid w:val="00D51DC8"/>
    <w:rsid w:val="00D5214D"/>
    <w:rsid w:val="00D521A6"/>
    <w:rsid w:val="00D525F5"/>
    <w:rsid w:val="00D52680"/>
    <w:rsid w:val="00D52A42"/>
    <w:rsid w:val="00D53589"/>
    <w:rsid w:val="00D537B5"/>
    <w:rsid w:val="00D539D5"/>
    <w:rsid w:val="00D53B51"/>
    <w:rsid w:val="00D53E78"/>
    <w:rsid w:val="00D54247"/>
    <w:rsid w:val="00D54302"/>
    <w:rsid w:val="00D54483"/>
    <w:rsid w:val="00D544D5"/>
    <w:rsid w:val="00D5454C"/>
    <w:rsid w:val="00D54A53"/>
    <w:rsid w:val="00D54CA4"/>
    <w:rsid w:val="00D5541E"/>
    <w:rsid w:val="00D55ADD"/>
    <w:rsid w:val="00D56187"/>
    <w:rsid w:val="00D56644"/>
    <w:rsid w:val="00D56BBD"/>
    <w:rsid w:val="00D570C9"/>
    <w:rsid w:val="00D576FA"/>
    <w:rsid w:val="00D57897"/>
    <w:rsid w:val="00D57F6F"/>
    <w:rsid w:val="00D602DE"/>
    <w:rsid w:val="00D604DC"/>
    <w:rsid w:val="00D605D2"/>
    <w:rsid w:val="00D6096A"/>
    <w:rsid w:val="00D60ABE"/>
    <w:rsid w:val="00D60CE5"/>
    <w:rsid w:val="00D61715"/>
    <w:rsid w:val="00D61811"/>
    <w:rsid w:val="00D62248"/>
    <w:rsid w:val="00D62263"/>
    <w:rsid w:val="00D622A1"/>
    <w:rsid w:val="00D62302"/>
    <w:rsid w:val="00D624C9"/>
    <w:rsid w:val="00D6264E"/>
    <w:rsid w:val="00D62BA5"/>
    <w:rsid w:val="00D62BAC"/>
    <w:rsid w:val="00D630D9"/>
    <w:rsid w:val="00D63D8F"/>
    <w:rsid w:val="00D63F75"/>
    <w:rsid w:val="00D63F9F"/>
    <w:rsid w:val="00D64004"/>
    <w:rsid w:val="00D64683"/>
    <w:rsid w:val="00D646D3"/>
    <w:rsid w:val="00D647D0"/>
    <w:rsid w:val="00D64F2D"/>
    <w:rsid w:val="00D653DF"/>
    <w:rsid w:val="00D65527"/>
    <w:rsid w:val="00D6567B"/>
    <w:rsid w:val="00D658AC"/>
    <w:rsid w:val="00D65A85"/>
    <w:rsid w:val="00D662DE"/>
    <w:rsid w:val="00D662F2"/>
    <w:rsid w:val="00D66345"/>
    <w:rsid w:val="00D665F1"/>
    <w:rsid w:val="00D66C89"/>
    <w:rsid w:val="00D66DC4"/>
    <w:rsid w:val="00D66E3B"/>
    <w:rsid w:val="00D6711E"/>
    <w:rsid w:val="00D675D7"/>
    <w:rsid w:val="00D67A49"/>
    <w:rsid w:val="00D70279"/>
    <w:rsid w:val="00D709B3"/>
    <w:rsid w:val="00D70A7A"/>
    <w:rsid w:val="00D71398"/>
    <w:rsid w:val="00D714B6"/>
    <w:rsid w:val="00D71C7B"/>
    <w:rsid w:val="00D72247"/>
    <w:rsid w:val="00D72691"/>
    <w:rsid w:val="00D72EED"/>
    <w:rsid w:val="00D730D4"/>
    <w:rsid w:val="00D7379B"/>
    <w:rsid w:val="00D73961"/>
    <w:rsid w:val="00D73A05"/>
    <w:rsid w:val="00D73B08"/>
    <w:rsid w:val="00D74137"/>
    <w:rsid w:val="00D748C1"/>
    <w:rsid w:val="00D759B5"/>
    <w:rsid w:val="00D75E81"/>
    <w:rsid w:val="00D75EB2"/>
    <w:rsid w:val="00D763BD"/>
    <w:rsid w:val="00D765A4"/>
    <w:rsid w:val="00D76719"/>
    <w:rsid w:val="00D770BE"/>
    <w:rsid w:val="00D77415"/>
    <w:rsid w:val="00D77738"/>
    <w:rsid w:val="00D77808"/>
    <w:rsid w:val="00D77B29"/>
    <w:rsid w:val="00D77BC8"/>
    <w:rsid w:val="00D80127"/>
    <w:rsid w:val="00D804E2"/>
    <w:rsid w:val="00D805D1"/>
    <w:rsid w:val="00D8090F"/>
    <w:rsid w:val="00D809A7"/>
    <w:rsid w:val="00D8124C"/>
    <w:rsid w:val="00D81FB3"/>
    <w:rsid w:val="00D8205F"/>
    <w:rsid w:val="00D823B7"/>
    <w:rsid w:val="00D8253D"/>
    <w:rsid w:val="00D82CFE"/>
    <w:rsid w:val="00D82FD7"/>
    <w:rsid w:val="00D830AF"/>
    <w:rsid w:val="00D83292"/>
    <w:rsid w:val="00D8345E"/>
    <w:rsid w:val="00D835B2"/>
    <w:rsid w:val="00D838AD"/>
    <w:rsid w:val="00D84FA6"/>
    <w:rsid w:val="00D85052"/>
    <w:rsid w:val="00D85C5F"/>
    <w:rsid w:val="00D85ECC"/>
    <w:rsid w:val="00D85EF4"/>
    <w:rsid w:val="00D8608E"/>
    <w:rsid w:val="00D863AC"/>
    <w:rsid w:val="00D864C7"/>
    <w:rsid w:val="00D86EB7"/>
    <w:rsid w:val="00D86FD7"/>
    <w:rsid w:val="00D87234"/>
    <w:rsid w:val="00D87536"/>
    <w:rsid w:val="00D8787F"/>
    <w:rsid w:val="00D878F5"/>
    <w:rsid w:val="00D90BE2"/>
    <w:rsid w:val="00D90E8A"/>
    <w:rsid w:val="00D915F0"/>
    <w:rsid w:val="00D917A8"/>
    <w:rsid w:val="00D91D1A"/>
    <w:rsid w:val="00D91E9F"/>
    <w:rsid w:val="00D92025"/>
    <w:rsid w:val="00D9204D"/>
    <w:rsid w:val="00D92077"/>
    <w:rsid w:val="00D920E1"/>
    <w:rsid w:val="00D9223D"/>
    <w:rsid w:val="00D9246A"/>
    <w:rsid w:val="00D9257C"/>
    <w:rsid w:val="00D92692"/>
    <w:rsid w:val="00D929A3"/>
    <w:rsid w:val="00D92A32"/>
    <w:rsid w:val="00D92B5E"/>
    <w:rsid w:val="00D92CCE"/>
    <w:rsid w:val="00D93388"/>
    <w:rsid w:val="00D934EB"/>
    <w:rsid w:val="00D9354B"/>
    <w:rsid w:val="00D9357E"/>
    <w:rsid w:val="00D93598"/>
    <w:rsid w:val="00D9390E"/>
    <w:rsid w:val="00D93B37"/>
    <w:rsid w:val="00D93CFF"/>
    <w:rsid w:val="00D93DCE"/>
    <w:rsid w:val="00D940B5"/>
    <w:rsid w:val="00D944F9"/>
    <w:rsid w:val="00D94885"/>
    <w:rsid w:val="00D95161"/>
    <w:rsid w:val="00D95457"/>
    <w:rsid w:val="00D95C1E"/>
    <w:rsid w:val="00D963D7"/>
    <w:rsid w:val="00D964EA"/>
    <w:rsid w:val="00D96A59"/>
    <w:rsid w:val="00D96D31"/>
    <w:rsid w:val="00D9717D"/>
    <w:rsid w:val="00D974A5"/>
    <w:rsid w:val="00D974DB"/>
    <w:rsid w:val="00D97A7B"/>
    <w:rsid w:val="00D97B61"/>
    <w:rsid w:val="00D97CA3"/>
    <w:rsid w:val="00D97EBC"/>
    <w:rsid w:val="00D97F02"/>
    <w:rsid w:val="00DA0435"/>
    <w:rsid w:val="00DA06A7"/>
    <w:rsid w:val="00DA0C2A"/>
    <w:rsid w:val="00DA0D8D"/>
    <w:rsid w:val="00DA116E"/>
    <w:rsid w:val="00DA1259"/>
    <w:rsid w:val="00DA126F"/>
    <w:rsid w:val="00DA13D7"/>
    <w:rsid w:val="00DA1609"/>
    <w:rsid w:val="00DA17C5"/>
    <w:rsid w:val="00DA1852"/>
    <w:rsid w:val="00DA1AAD"/>
    <w:rsid w:val="00DA1AE1"/>
    <w:rsid w:val="00DA1BAB"/>
    <w:rsid w:val="00DA1E08"/>
    <w:rsid w:val="00DA1F9B"/>
    <w:rsid w:val="00DA1FF5"/>
    <w:rsid w:val="00DA2677"/>
    <w:rsid w:val="00DA2C72"/>
    <w:rsid w:val="00DA3AA5"/>
    <w:rsid w:val="00DA4721"/>
    <w:rsid w:val="00DA474D"/>
    <w:rsid w:val="00DA4821"/>
    <w:rsid w:val="00DA4A52"/>
    <w:rsid w:val="00DA4ED4"/>
    <w:rsid w:val="00DA4F59"/>
    <w:rsid w:val="00DA4FBC"/>
    <w:rsid w:val="00DA593C"/>
    <w:rsid w:val="00DA5A34"/>
    <w:rsid w:val="00DA5AAE"/>
    <w:rsid w:val="00DA5B0E"/>
    <w:rsid w:val="00DA6038"/>
    <w:rsid w:val="00DA61B9"/>
    <w:rsid w:val="00DA6383"/>
    <w:rsid w:val="00DA6494"/>
    <w:rsid w:val="00DA6520"/>
    <w:rsid w:val="00DA72BB"/>
    <w:rsid w:val="00DA7457"/>
    <w:rsid w:val="00DA77C5"/>
    <w:rsid w:val="00DA7D1C"/>
    <w:rsid w:val="00DA7F4E"/>
    <w:rsid w:val="00DB0028"/>
    <w:rsid w:val="00DB01BE"/>
    <w:rsid w:val="00DB0493"/>
    <w:rsid w:val="00DB07CB"/>
    <w:rsid w:val="00DB0D25"/>
    <w:rsid w:val="00DB100D"/>
    <w:rsid w:val="00DB1083"/>
    <w:rsid w:val="00DB164F"/>
    <w:rsid w:val="00DB1ACA"/>
    <w:rsid w:val="00DB1B31"/>
    <w:rsid w:val="00DB1CED"/>
    <w:rsid w:val="00DB2995"/>
    <w:rsid w:val="00DB2B07"/>
    <w:rsid w:val="00DB2ED0"/>
    <w:rsid w:val="00DB3156"/>
    <w:rsid w:val="00DB3251"/>
    <w:rsid w:val="00DB37DC"/>
    <w:rsid w:val="00DB383F"/>
    <w:rsid w:val="00DB38F0"/>
    <w:rsid w:val="00DB3EE8"/>
    <w:rsid w:val="00DB4077"/>
    <w:rsid w:val="00DB4114"/>
    <w:rsid w:val="00DB4701"/>
    <w:rsid w:val="00DB48C1"/>
    <w:rsid w:val="00DB4966"/>
    <w:rsid w:val="00DB4E76"/>
    <w:rsid w:val="00DB4F70"/>
    <w:rsid w:val="00DB4FA7"/>
    <w:rsid w:val="00DB525E"/>
    <w:rsid w:val="00DB53D3"/>
    <w:rsid w:val="00DB54E6"/>
    <w:rsid w:val="00DB5502"/>
    <w:rsid w:val="00DB5659"/>
    <w:rsid w:val="00DB59C0"/>
    <w:rsid w:val="00DB59F6"/>
    <w:rsid w:val="00DB6579"/>
    <w:rsid w:val="00DB6877"/>
    <w:rsid w:val="00DB6A6D"/>
    <w:rsid w:val="00DB6C4C"/>
    <w:rsid w:val="00DB6EE1"/>
    <w:rsid w:val="00DB719A"/>
    <w:rsid w:val="00DB7B2C"/>
    <w:rsid w:val="00DC0146"/>
    <w:rsid w:val="00DC02D8"/>
    <w:rsid w:val="00DC03EE"/>
    <w:rsid w:val="00DC073A"/>
    <w:rsid w:val="00DC158D"/>
    <w:rsid w:val="00DC15DB"/>
    <w:rsid w:val="00DC193B"/>
    <w:rsid w:val="00DC19FF"/>
    <w:rsid w:val="00DC20A8"/>
    <w:rsid w:val="00DC22CB"/>
    <w:rsid w:val="00DC2623"/>
    <w:rsid w:val="00DC2C93"/>
    <w:rsid w:val="00DC3613"/>
    <w:rsid w:val="00DC36B8"/>
    <w:rsid w:val="00DC379E"/>
    <w:rsid w:val="00DC383A"/>
    <w:rsid w:val="00DC38C9"/>
    <w:rsid w:val="00DC3992"/>
    <w:rsid w:val="00DC3A17"/>
    <w:rsid w:val="00DC3A8B"/>
    <w:rsid w:val="00DC414D"/>
    <w:rsid w:val="00DC43E4"/>
    <w:rsid w:val="00DC4FBF"/>
    <w:rsid w:val="00DC53F2"/>
    <w:rsid w:val="00DC55EB"/>
    <w:rsid w:val="00DC5634"/>
    <w:rsid w:val="00DC5694"/>
    <w:rsid w:val="00DC5995"/>
    <w:rsid w:val="00DC59B3"/>
    <w:rsid w:val="00DC5ADB"/>
    <w:rsid w:val="00DC6078"/>
    <w:rsid w:val="00DC60E5"/>
    <w:rsid w:val="00DC630A"/>
    <w:rsid w:val="00DC69AD"/>
    <w:rsid w:val="00DC6B01"/>
    <w:rsid w:val="00DC6EF6"/>
    <w:rsid w:val="00DC6F5F"/>
    <w:rsid w:val="00DC71A8"/>
    <w:rsid w:val="00DC71D7"/>
    <w:rsid w:val="00DC73CB"/>
    <w:rsid w:val="00DC74C7"/>
    <w:rsid w:val="00DC7797"/>
    <w:rsid w:val="00DC7E53"/>
    <w:rsid w:val="00DD078A"/>
    <w:rsid w:val="00DD09FC"/>
    <w:rsid w:val="00DD0D25"/>
    <w:rsid w:val="00DD0D6F"/>
    <w:rsid w:val="00DD0D9E"/>
    <w:rsid w:val="00DD1658"/>
    <w:rsid w:val="00DD1737"/>
    <w:rsid w:val="00DD1A3C"/>
    <w:rsid w:val="00DD1C9D"/>
    <w:rsid w:val="00DD1CD0"/>
    <w:rsid w:val="00DD1D17"/>
    <w:rsid w:val="00DD1F6D"/>
    <w:rsid w:val="00DD218E"/>
    <w:rsid w:val="00DD21D8"/>
    <w:rsid w:val="00DD2246"/>
    <w:rsid w:val="00DD2596"/>
    <w:rsid w:val="00DD29E9"/>
    <w:rsid w:val="00DD2B54"/>
    <w:rsid w:val="00DD2CB6"/>
    <w:rsid w:val="00DD2FD2"/>
    <w:rsid w:val="00DD33F7"/>
    <w:rsid w:val="00DD34E1"/>
    <w:rsid w:val="00DD3F6A"/>
    <w:rsid w:val="00DD45E7"/>
    <w:rsid w:val="00DD487B"/>
    <w:rsid w:val="00DD4CE8"/>
    <w:rsid w:val="00DD51E0"/>
    <w:rsid w:val="00DD5292"/>
    <w:rsid w:val="00DD52EF"/>
    <w:rsid w:val="00DD559B"/>
    <w:rsid w:val="00DD592F"/>
    <w:rsid w:val="00DD5A61"/>
    <w:rsid w:val="00DD5B3A"/>
    <w:rsid w:val="00DD5F73"/>
    <w:rsid w:val="00DD62EE"/>
    <w:rsid w:val="00DD656D"/>
    <w:rsid w:val="00DD6712"/>
    <w:rsid w:val="00DD69DC"/>
    <w:rsid w:val="00DD71F6"/>
    <w:rsid w:val="00DD7221"/>
    <w:rsid w:val="00DD7375"/>
    <w:rsid w:val="00DD73A8"/>
    <w:rsid w:val="00DD7667"/>
    <w:rsid w:val="00DD777C"/>
    <w:rsid w:val="00DD7D2F"/>
    <w:rsid w:val="00DE02BC"/>
    <w:rsid w:val="00DE0973"/>
    <w:rsid w:val="00DE0D2F"/>
    <w:rsid w:val="00DE0D75"/>
    <w:rsid w:val="00DE0FB2"/>
    <w:rsid w:val="00DE10D3"/>
    <w:rsid w:val="00DE13B5"/>
    <w:rsid w:val="00DE14A8"/>
    <w:rsid w:val="00DE186B"/>
    <w:rsid w:val="00DE189A"/>
    <w:rsid w:val="00DE19EB"/>
    <w:rsid w:val="00DE1BD4"/>
    <w:rsid w:val="00DE1D3D"/>
    <w:rsid w:val="00DE23BC"/>
    <w:rsid w:val="00DE244B"/>
    <w:rsid w:val="00DE2E0D"/>
    <w:rsid w:val="00DE3578"/>
    <w:rsid w:val="00DE3767"/>
    <w:rsid w:val="00DE3B71"/>
    <w:rsid w:val="00DE4045"/>
    <w:rsid w:val="00DE440E"/>
    <w:rsid w:val="00DE57F8"/>
    <w:rsid w:val="00DE5B0F"/>
    <w:rsid w:val="00DE5BA7"/>
    <w:rsid w:val="00DE5BB2"/>
    <w:rsid w:val="00DE5C29"/>
    <w:rsid w:val="00DE635E"/>
    <w:rsid w:val="00DE6AB7"/>
    <w:rsid w:val="00DE6B0D"/>
    <w:rsid w:val="00DE6F59"/>
    <w:rsid w:val="00DE706E"/>
    <w:rsid w:val="00DE7383"/>
    <w:rsid w:val="00DE73BC"/>
    <w:rsid w:val="00DE74DD"/>
    <w:rsid w:val="00DE74EE"/>
    <w:rsid w:val="00DE7B39"/>
    <w:rsid w:val="00DE7D6B"/>
    <w:rsid w:val="00DE7D80"/>
    <w:rsid w:val="00DE7DAA"/>
    <w:rsid w:val="00DF010F"/>
    <w:rsid w:val="00DF055F"/>
    <w:rsid w:val="00DF0568"/>
    <w:rsid w:val="00DF07E6"/>
    <w:rsid w:val="00DF0A1F"/>
    <w:rsid w:val="00DF0C86"/>
    <w:rsid w:val="00DF0FE3"/>
    <w:rsid w:val="00DF1039"/>
    <w:rsid w:val="00DF111E"/>
    <w:rsid w:val="00DF123E"/>
    <w:rsid w:val="00DF1B69"/>
    <w:rsid w:val="00DF1BFE"/>
    <w:rsid w:val="00DF1C01"/>
    <w:rsid w:val="00DF2254"/>
    <w:rsid w:val="00DF235F"/>
    <w:rsid w:val="00DF26E7"/>
    <w:rsid w:val="00DF281D"/>
    <w:rsid w:val="00DF2CB1"/>
    <w:rsid w:val="00DF304C"/>
    <w:rsid w:val="00DF308D"/>
    <w:rsid w:val="00DF3165"/>
    <w:rsid w:val="00DF33E0"/>
    <w:rsid w:val="00DF37B3"/>
    <w:rsid w:val="00DF39C8"/>
    <w:rsid w:val="00DF4139"/>
    <w:rsid w:val="00DF4BDB"/>
    <w:rsid w:val="00DF4BEA"/>
    <w:rsid w:val="00DF4DF7"/>
    <w:rsid w:val="00DF56F5"/>
    <w:rsid w:val="00DF594A"/>
    <w:rsid w:val="00DF5A3C"/>
    <w:rsid w:val="00DF5FA0"/>
    <w:rsid w:val="00DF615C"/>
    <w:rsid w:val="00DF6546"/>
    <w:rsid w:val="00DF69BE"/>
    <w:rsid w:val="00DF69F9"/>
    <w:rsid w:val="00DF70BA"/>
    <w:rsid w:val="00DF7110"/>
    <w:rsid w:val="00DF74A6"/>
    <w:rsid w:val="00DF7566"/>
    <w:rsid w:val="00DF77DD"/>
    <w:rsid w:val="00DF7D77"/>
    <w:rsid w:val="00DF7E2E"/>
    <w:rsid w:val="00E0028A"/>
    <w:rsid w:val="00E00338"/>
    <w:rsid w:val="00E00423"/>
    <w:rsid w:val="00E008CE"/>
    <w:rsid w:val="00E0108C"/>
    <w:rsid w:val="00E010A0"/>
    <w:rsid w:val="00E01963"/>
    <w:rsid w:val="00E01FB5"/>
    <w:rsid w:val="00E021D8"/>
    <w:rsid w:val="00E02579"/>
    <w:rsid w:val="00E02B50"/>
    <w:rsid w:val="00E03112"/>
    <w:rsid w:val="00E036AB"/>
    <w:rsid w:val="00E041C0"/>
    <w:rsid w:val="00E044C0"/>
    <w:rsid w:val="00E04B3F"/>
    <w:rsid w:val="00E04B7A"/>
    <w:rsid w:val="00E04EFF"/>
    <w:rsid w:val="00E05128"/>
    <w:rsid w:val="00E051AE"/>
    <w:rsid w:val="00E052E6"/>
    <w:rsid w:val="00E0591F"/>
    <w:rsid w:val="00E05B22"/>
    <w:rsid w:val="00E05E11"/>
    <w:rsid w:val="00E060C1"/>
    <w:rsid w:val="00E06A4D"/>
    <w:rsid w:val="00E06B1E"/>
    <w:rsid w:val="00E06C5F"/>
    <w:rsid w:val="00E06CA3"/>
    <w:rsid w:val="00E07787"/>
    <w:rsid w:val="00E07D4B"/>
    <w:rsid w:val="00E07DAA"/>
    <w:rsid w:val="00E108B9"/>
    <w:rsid w:val="00E1092D"/>
    <w:rsid w:val="00E10AAF"/>
    <w:rsid w:val="00E10C93"/>
    <w:rsid w:val="00E10E16"/>
    <w:rsid w:val="00E10E69"/>
    <w:rsid w:val="00E10EB9"/>
    <w:rsid w:val="00E110EC"/>
    <w:rsid w:val="00E11189"/>
    <w:rsid w:val="00E113AE"/>
    <w:rsid w:val="00E11C01"/>
    <w:rsid w:val="00E11C9F"/>
    <w:rsid w:val="00E11D49"/>
    <w:rsid w:val="00E11F14"/>
    <w:rsid w:val="00E126D3"/>
    <w:rsid w:val="00E1298E"/>
    <w:rsid w:val="00E12C09"/>
    <w:rsid w:val="00E12CDC"/>
    <w:rsid w:val="00E13270"/>
    <w:rsid w:val="00E13454"/>
    <w:rsid w:val="00E134CF"/>
    <w:rsid w:val="00E13B5D"/>
    <w:rsid w:val="00E147D5"/>
    <w:rsid w:val="00E14A32"/>
    <w:rsid w:val="00E14C0E"/>
    <w:rsid w:val="00E14CA4"/>
    <w:rsid w:val="00E14EC9"/>
    <w:rsid w:val="00E151B4"/>
    <w:rsid w:val="00E15A35"/>
    <w:rsid w:val="00E1645C"/>
    <w:rsid w:val="00E16642"/>
    <w:rsid w:val="00E17362"/>
    <w:rsid w:val="00E1787C"/>
    <w:rsid w:val="00E201DA"/>
    <w:rsid w:val="00E20805"/>
    <w:rsid w:val="00E209A5"/>
    <w:rsid w:val="00E20B46"/>
    <w:rsid w:val="00E20FDB"/>
    <w:rsid w:val="00E21F2E"/>
    <w:rsid w:val="00E2249E"/>
    <w:rsid w:val="00E224F2"/>
    <w:rsid w:val="00E22B76"/>
    <w:rsid w:val="00E22B83"/>
    <w:rsid w:val="00E23119"/>
    <w:rsid w:val="00E234F1"/>
    <w:rsid w:val="00E23552"/>
    <w:rsid w:val="00E23E7D"/>
    <w:rsid w:val="00E23F9C"/>
    <w:rsid w:val="00E24183"/>
    <w:rsid w:val="00E241ED"/>
    <w:rsid w:val="00E24250"/>
    <w:rsid w:val="00E24E3A"/>
    <w:rsid w:val="00E250E2"/>
    <w:rsid w:val="00E25225"/>
    <w:rsid w:val="00E253B1"/>
    <w:rsid w:val="00E25AF8"/>
    <w:rsid w:val="00E25D78"/>
    <w:rsid w:val="00E25DC5"/>
    <w:rsid w:val="00E25FFD"/>
    <w:rsid w:val="00E266FA"/>
    <w:rsid w:val="00E26B97"/>
    <w:rsid w:val="00E26C55"/>
    <w:rsid w:val="00E26E4A"/>
    <w:rsid w:val="00E26F6C"/>
    <w:rsid w:val="00E27083"/>
    <w:rsid w:val="00E30A41"/>
    <w:rsid w:val="00E30E36"/>
    <w:rsid w:val="00E310A7"/>
    <w:rsid w:val="00E3132E"/>
    <w:rsid w:val="00E3154C"/>
    <w:rsid w:val="00E317DA"/>
    <w:rsid w:val="00E319F4"/>
    <w:rsid w:val="00E31B10"/>
    <w:rsid w:val="00E31BD0"/>
    <w:rsid w:val="00E31C05"/>
    <w:rsid w:val="00E31F5F"/>
    <w:rsid w:val="00E31FCC"/>
    <w:rsid w:val="00E32A60"/>
    <w:rsid w:val="00E334D7"/>
    <w:rsid w:val="00E33817"/>
    <w:rsid w:val="00E33FC5"/>
    <w:rsid w:val="00E34908"/>
    <w:rsid w:val="00E34CA3"/>
    <w:rsid w:val="00E34D3D"/>
    <w:rsid w:val="00E34E22"/>
    <w:rsid w:val="00E34E37"/>
    <w:rsid w:val="00E34EE6"/>
    <w:rsid w:val="00E3525A"/>
    <w:rsid w:val="00E352CF"/>
    <w:rsid w:val="00E357D5"/>
    <w:rsid w:val="00E3592A"/>
    <w:rsid w:val="00E35C46"/>
    <w:rsid w:val="00E35C4A"/>
    <w:rsid w:val="00E3605D"/>
    <w:rsid w:val="00E36106"/>
    <w:rsid w:val="00E364B0"/>
    <w:rsid w:val="00E36653"/>
    <w:rsid w:val="00E37189"/>
    <w:rsid w:val="00E37303"/>
    <w:rsid w:val="00E37339"/>
    <w:rsid w:val="00E37391"/>
    <w:rsid w:val="00E37679"/>
    <w:rsid w:val="00E37A0F"/>
    <w:rsid w:val="00E37C74"/>
    <w:rsid w:val="00E37DA6"/>
    <w:rsid w:val="00E37DEB"/>
    <w:rsid w:val="00E37FE3"/>
    <w:rsid w:val="00E40206"/>
    <w:rsid w:val="00E403BC"/>
    <w:rsid w:val="00E4042D"/>
    <w:rsid w:val="00E409BD"/>
    <w:rsid w:val="00E40B4B"/>
    <w:rsid w:val="00E40B81"/>
    <w:rsid w:val="00E40EB7"/>
    <w:rsid w:val="00E41861"/>
    <w:rsid w:val="00E41886"/>
    <w:rsid w:val="00E41A1C"/>
    <w:rsid w:val="00E41AAF"/>
    <w:rsid w:val="00E42456"/>
    <w:rsid w:val="00E424AB"/>
    <w:rsid w:val="00E439CB"/>
    <w:rsid w:val="00E43AAA"/>
    <w:rsid w:val="00E440AC"/>
    <w:rsid w:val="00E44264"/>
    <w:rsid w:val="00E446EB"/>
    <w:rsid w:val="00E449C8"/>
    <w:rsid w:val="00E44C62"/>
    <w:rsid w:val="00E45941"/>
    <w:rsid w:val="00E45942"/>
    <w:rsid w:val="00E45F64"/>
    <w:rsid w:val="00E4607B"/>
    <w:rsid w:val="00E46093"/>
    <w:rsid w:val="00E46121"/>
    <w:rsid w:val="00E4618B"/>
    <w:rsid w:val="00E46381"/>
    <w:rsid w:val="00E467DE"/>
    <w:rsid w:val="00E46A65"/>
    <w:rsid w:val="00E470E3"/>
    <w:rsid w:val="00E474CE"/>
    <w:rsid w:val="00E47C88"/>
    <w:rsid w:val="00E47D30"/>
    <w:rsid w:val="00E47DCF"/>
    <w:rsid w:val="00E503C9"/>
    <w:rsid w:val="00E50A63"/>
    <w:rsid w:val="00E51343"/>
    <w:rsid w:val="00E513DC"/>
    <w:rsid w:val="00E51443"/>
    <w:rsid w:val="00E51A7C"/>
    <w:rsid w:val="00E51BFF"/>
    <w:rsid w:val="00E51FCB"/>
    <w:rsid w:val="00E5257F"/>
    <w:rsid w:val="00E526D6"/>
    <w:rsid w:val="00E530E1"/>
    <w:rsid w:val="00E534A4"/>
    <w:rsid w:val="00E53779"/>
    <w:rsid w:val="00E5387C"/>
    <w:rsid w:val="00E53E1B"/>
    <w:rsid w:val="00E546CD"/>
    <w:rsid w:val="00E546F1"/>
    <w:rsid w:val="00E54A74"/>
    <w:rsid w:val="00E54E45"/>
    <w:rsid w:val="00E54EF2"/>
    <w:rsid w:val="00E550A1"/>
    <w:rsid w:val="00E55203"/>
    <w:rsid w:val="00E55373"/>
    <w:rsid w:val="00E556F9"/>
    <w:rsid w:val="00E55EB2"/>
    <w:rsid w:val="00E55ED2"/>
    <w:rsid w:val="00E55F5D"/>
    <w:rsid w:val="00E5669C"/>
    <w:rsid w:val="00E569BE"/>
    <w:rsid w:val="00E56CA3"/>
    <w:rsid w:val="00E56E44"/>
    <w:rsid w:val="00E570AD"/>
    <w:rsid w:val="00E57379"/>
    <w:rsid w:val="00E57BED"/>
    <w:rsid w:val="00E60235"/>
    <w:rsid w:val="00E60745"/>
    <w:rsid w:val="00E60AF1"/>
    <w:rsid w:val="00E60B6D"/>
    <w:rsid w:val="00E60DC5"/>
    <w:rsid w:val="00E619E1"/>
    <w:rsid w:val="00E61AB4"/>
    <w:rsid w:val="00E62448"/>
    <w:rsid w:val="00E6258B"/>
    <w:rsid w:val="00E62864"/>
    <w:rsid w:val="00E6305C"/>
    <w:rsid w:val="00E63168"/>
    <w:rsid w:val="00E63559"/>
    <w:rsid w:val="00E638BC"/>
    <w:rsid w:val="00E63DE8"/>
    <w:rsid w:val="00E6406C"/>
    <w:rsid w:val="00E64246"/>
    <w:rsid w:val="00E6445B"/>
    <w:rsid w:val="00E648FF"/>
    <w:rsid w:val="00E6495A"/>
    <w:rsid w:val="00E64ABB"/>
    <w:rsid w:val="00E64AC7"/>
    <w:rsid w:val="00E64B50"/>
    <w:rsid w:val="00E6518A"/>
    <w:rsid w:val="00E6521C"/>
    <w:rsid w:val="00E653CB"/>
    <w:rsid w:val="00E657D4"/>
    <w:rsid w:val="00E65856"/>
    <w:rsid w:val="00E65C26"/>
    <w:rsid w:val="00E65F46"/>
    <w:rsid w:val="00E66094"/>
    <w:rsid w:val="00E66780"/>
    <w:rsid w:val="00E66808"/>
    <w:rsid w:val="00E66888"/>
    <w:rsid w:val="00E66918"/>
    <w:rsid w:val="00E66C2F"/>
    <w:rsid w:val="00E67180"/>
    <w:rsid w:val="00E67539"/>
    <w:rsid w:val="00E676E2"/>
    <w:rsid w:val="00E67EC9"/>
    <w:rsid w:val="00E70096"/>
    <w:rsid w:val="00E70278"/>
    <w:rsid w:val="00E703D9"/>
    <w:rsid w:val="00E7097D"/>
    <w:rsid w:val="00E709C3"/>
    <w:rsid w:val="00E70E60"/>
    <w:rsid w:val="00E716ED"/>
    <w:rsid w:val="00E71830"/>
    <w:rsid w:val="00E71B47"/>
    <w:rsid w:val="00E71DFC"/>
    <w:rsid w:val="00E72099"/>
    <w:rsid w:val="00E724F1"/>
    <w:rsid w:val="00E72C9D"/>
    <w:rsid w:val="00E72E6A"/>
    <w:rsid w:val="00E731DD"/>
    <w:rsid w:val="00E73472"/>
    <w:rsid w:val="00E7396D"/>
    <w:rsid w:val="00E73B10"/>
    <w:rsid w:val="00E73B2C"/>
    <w:rsid w:val="00E73D71"/>
    <w:rsid w:val="00E7400A"/>
    <w:rsid w:val="00E7468B"/>
    <w:rsid w:val="00E74C8A"/>
    <w:rsid w:val="00E74EDD"/>
    <w:rsid w:val="00E74FA5"/>
    <w:rsid w:val="00E7532D"/>
    <w:rsid w:val="00E753ED"/>
    <w:rsid w:val="00E755D2"/>
    <w:rsid w:val="00E756A8"/>
    <w:rsid w:val="00E757F5"/>
    <w:rsid w:val="00E75C7E"/>
    <w:rsid w:val="00E76032"/>
    <w:rsid w:val="00E7617B"/>
    <w:rsid w:val="00E76532"/>
    <w:rsid w:val="00E768AA"/>
    <w:rsid w:val="00E768F1"/>
    <w:rsid w:val="00E768F2"/>
    <w:rsid w:val="00E769FB"/>
    <w:rsid w:val="00E76A64"/>
    <w:rsid w:val="00E7769D"/>
    <w:rsid w:val="00E77A13"/>
    <w:rsid w:val="00E77ABC"/>
    <w:rsid w:val="00E77BE3"/>
    <w:rsid w:val="00E77D66"/>
    <w:rsid w:val="00E77E9E"/>
    <w:rsid w:val="00E8000D"/>
    <w:rsid w:val="00E80117"/>
    <w:rsid w:val="00E8016A"/>
    <w:rsid w:val="00E8028A"/>
    <w:rsid w:val="00E80717"/>
    <w:rsid w:val="00E812A7"/>
    <w:rsid w:val="00E818A0"/>
    <w:rsid w:val="00E81937"/>
    <w:rsid w:val="00E81C68"/>
    <w:rsid w:val="00E81DED"/>
    <w:rsid w:val="00E82316"/>
    <w:rsid w:val="00E82339"/>
    <w:rsid w:val="00E825B3"/>
    <w:rsid w:val="00E827CD"/>
    <w:rsid w:val="00E82D1C"/>
    <w:rsid w:val="00E82E7B"/>
    <w:rsid w:val="00E8337B"/>
    <w:rsid w:val="00E835B1"/>
    <w:rsid w:val="00E83732"/>
    <w:rsid w:val="00E84233"/>
    <w:rsid w:val="00E84426"/>
    <w:rsid w:val="00E849C9"/>
    <w:rsid w:val="00E849DE"/>
    <w:rsid w:val="00E84D7A"/>
    <w:rsid w:val="00E84F08"/>
    <w:rsid w:val="00E85250"/>
    <w:rsid w:val="00E85819"/>
    <w:rsid w:val="00E858A3"/>
    <w:rsid w:val="00E85948"/>
    <w:rsid w:val="00E85AEF"/>
    <w:rsid w:val="00E85B6D"/>
    <w:rsid w:val="00E85F62"/>
    <w:rsid w:val="00E85FC2"/>
    <w:rsid w:val="00E86536"/>
    <w:rsid w:val="00E8680E"/>
    <w:rsid w:val="00E86C3A"/>
    <w:rsid w:val="00E87207"/>
    <w:rsid w:val="00E87259"/>
    <w:rsid w:val="00E8753B"/>
    <w:rsid w:val="00E876F0"/>
    <w:rsid w:val="00E87A0D"/>
    <w:rsid w:val="00E87A31"/>
    <w:rsid w:val="00E87D59"/>
    <w:rsid w:val="00E87DA4"/>
    <w:rsid w:val="00E90003"/>
    <w:rsid w:val="00E90666"/>
    <w:rsid w:val="00E90D60"/>
    <w:rsid w:val="00E90D75"/>
    <w:rsid w:val="00E90EA9"/>
    <w:rsid w:val="00E90EBC"/>
    <w:rsid w:val="00E914E3"/>
    <w:rsid w:val="00E9154E"/>
    <w:rsid w:val="00E9167E"/>
    <w:rsid w:val="00E91F6A"/>
    <w:rsid w:val="00E920FC"/>
    <w:rsid w:val="00E922A4"/>
    <w:rsid w:val="00E925CE"/>
    <w:rsid w:val="00E9268E"/>
    <w:rsid w:val="00E928EA"/>
    <w:rsid w:val="00E92A10"/>
    <w:rsid w:val="00E92CAD"/>
    <w:rsid w:val="00E92E00"/>
    <w:rsid w:val="00E9358C"/>
    <w:rsid w:val="00E93981"/>
    <w:rsid w:val="00E93C55"/>
    <w:rsid w:val="00E93F3F"/>
    <w:rsid w:val="00E94081"/>
    <w:rsid w:val="00E94C99"/>
    <w:rsid w:val="00E94D42"/>
    <w:rsid w:val="00E94EAC"/>
    <w:rsid w:val="00E951DA"/>
    <w:rsid w:val="00E95569"/>
    <w:rsid w:val="00E9597E"/>
    <w:rsid w:val="00E95B23"/>
    <w:rsid w:val="00E95F95"/>
    <w:rsid w:val="00E9614B"/>
    <w:rsid w:val="00E96718"/>
    <w:rsid w:val="00E967CB"/>
    <w:rsid w:val="00E96853"/>
    <w:rsid w:val="00E96D64"/>
    <w:rsid w:val="00E96E28"/>
    <w:rsid w:val="00E96E71"/>
    <w:rsid w:val="00E970F7"/>
    <w:rsid w:val="00E97407"/>
    <w:rsid w:val="00EA0023"/>
    <w:rsid w:val="00EA05D9"/>
    <w:rsid w:val="00EA0667"/>
    <w:rsid w:val="00EA1104"/>
    <w:rsid w:val="00EA114E"/>
    <w:rsid w:val="00EA17BE"/>
    <w:rsid w:val="00EA1AFD"/>
    <w:rsid w:val="00EA1C35"/>
    <w:rsid w:val="00EA1D0B"/>
    <w:rsid w:val="00EA1D34"/>
    <w:rsid w:val="00EA237D"/>
    <w:rsid w:val="00EA25F1"/>
    <w:rsid w:val="00EA2828"/>
    <w:rsid w:val="00EA29B8"/>
    <w:rsid w:val="00EA307F"/>
    <w:rsid w:val="00EA3228"/>
    <w:rsid w:val="00EA3266"/>
    <w:rsid w:val="00EA36DD"/>
    <w:rsid w:val="00EA41FE"/>
    <w:rsid w:val="00EA464C"/>
    <w:rsid w:val="00EA521F"/>
    <w:rsid w:val="00EA5257"/>
    <w:rsid w:val="00EA5348"/>
    <w:rsid w:val="00EA5690"/>
    <w:rsid w:val="00EA5752"/>
    <w:rsid w:val="00EA58AC"/>
    <w:rsid w:val="00EA59B6"/>
    <w:rsid w:val="00EA6484"/>
    <w:rsid w:val="00EA6A5D"/>
    <w:rsid w:val="00EA6BA1"/>
    <w:rsid w:val="00EA7415"/>
    <w:rsid w:val="00EA756B"/>
    <w:rsid w:val="00EB0159"/>
    <w:rsid w:val="00EB0433"/>
    <w:rsid w:val="00EB0532"/>
    <w:rsid w:val="00EB0A7B"/>
    <w:rsid w:val="00EB1089"/>
    <w:rsid w:val="00EB1396"/>
    <w:rsid w:val="00EB17C2"/>
    <w:rsid w:val="00EB196D"/>
    <w:rsid w:val="00EB19C5"/>
    <w:rsid w:val="00EB1A17"/>
    <w:rsid w:val="00EB1A82"/>
    <w:rsid w:val="00EB1AE0"/>
    <w:rsid w:val="00EB1B8B"/>
    <w:rsid w:val="00EB21AC"/>
    <w:rsid w:val="00EB24EC"/>
    <w:rsid w:val="00EB285E"/>
    <w:rsid w:val="00EB365E"/>
    <w:rsid w:val="00EB3695"/>
    <w:rsid w:val="00EB3C54"/>
    <w:rsid w:val="00EB3C60"/>
    <w:rsid w:val="00EB4215"/>
    <w:rsid w:val="00EB43D1"/>
    <w:rsid w:val="00EB4791"/>
    <w:rsid w:val="00EB4951"/>
    <w:rsid w:val="00EB4C7F"/>
    <w:rsid w:val="00EB4CA9"/>
    <w:rsid w:val="00EB4CB4"/>
    <w:rsid w:val="00EB509F"/>
    <w:rsid w:val="00EB592D"/>
    <w:rsid w:val="00EB595B"/>
    <w:rsid w:val="00EB596A"/>
    <w:rsid w:val="00EB5A17"/>
    <w:rsid w:val="00EB5AC9"/>
    <w:rsid w:val="00EB5BE8"/>
    <w:rsid w:val="00EB5CBC"/>
    <w:rsid w:val="00EB6096"/>
    <w:rsid w:val="00EB6B39"/>
    <w:rsid w:val="00EB78D9"/>
    <w:rsid w:val="00EB79F0"/>
    <w:rsid w:val="00EB7B2F"/>
    <w:rsid w:val="00EC01AF"/>
    <w:rsid w:val="00EC032E"/>
    <w:rsid w:val="00EC0929"/>
    <w:rsid w:val="00EC098E"/>
    <w:rsid w:val="00EC0AF2"/>
    <w:rsid w:val="00EC0B02"/>
    <w:rsid w:val="00EC0BCB"/>
    <w:rsid w:val="00EC0E71"/>
    <w:rsid w:val="00EC0FD4"/>
    <w:rsid w:val="00EC17A8"/>
    <w:rsid w:val="00EC17F6"/>
    <w:rsid w:val="00EC2076"/>
    <w:rsid w:val="00EC2457"/>
    <w:rsid w:val="00EC254D"/>
    <w:rsid w:val="00EC28A2"/>
    <w:rsid w:val="00EC2A94"/>
    <w:rsid w:val="00EC2C76"/>
    <w:rsid w:val="00EC310F"/>
    <w:rsid w:val="00EC31F9"/>
    <w:rsid w:val="00EC3286"/>
    <w:rsid w:val="00EC3B56"/>
    <w:rsid w:val="00EC3BFF"/>
    <w:rsid w:val="00EC4003"/>
    <w:rsid w:val="00EC40BF"/>
    <w:rsid w:val="00EC41FD"/>
    <w:rsid w:val="00EC444B"/>
    <w:rsid w:val="00EC4804"/>
    <w:rsid w:val="00EC4C32"/>
    <w:rsid w:val="00EC4E8E"/>
    <w:rsid w:val="00EC4F20"/>
    <w:rsid w:val="00EC5109"/>
    <w:rsid w:val="00EC5898"/>
    <w:rsid w:val="00EC5BDD"/>
    <w:rsid w:val="00EC691B"/>
    <w:rsid w:val="00EC6C73"/>
    <w:rsid w:val="00EC6D6F"/>
    <w:rsid w:val="00EC6DD2"/>
    <w:rsid w:val="00EC6F24"/>
    <w:rsid w:val="00EC7482"/>
    <w:rsid w:val="00EC74D9"/>
    <w:rsid w:val="00EC7511"/>
    <w:rsid w:val="00EC76FD"/>
    <w:rsid w:val="00EC7B29"/>
    <w:rsid w:val="00ED0241"/>
    <w:rsid w:val="00ED1AD5"/>
    <w:rsid w:val="00ED1D54"/>
    <w:rsid w:val="00ED2042"/>
    <w:rsid w:val="00ED25AA"/>
    <w:rsid w:val="00ED2674"/>
    <w:rsid w:val="00ED3090"/>
    <w:rsid w:val="00ED30F4"/>
    <w:rsid w:val="00ED3704"/>
    <w:rsid w:val="00ED37CD"/>
    <w:rsid w:val="00ED3B5D"/>
    <w:rsid w:val="00ED4296"/>
    <w:rsid w:val="00ED449E"/>
    <w:rsid w:val="00ED483C"/>
    <w:rsid w:val="00ED4D7F"/>
    <w:rsid w:val="00ED4E34"/>
    <w:rsid w:val="00ED5762"/>
    <w:rsid w:val="00ED58C8"/>
    <w:rsid w:val="00ED5EB4"/>
    <w:rsid w:val="00ED5EC3"/>
    <w:rsid w:val="00ED613A"/>
    <w:rsid w:val="00ED6CFA"/>
    <w:rsid w:val="00ED6D53"/>
    <w:rsid w:val="00ED7639"/>
    <w:rsid w:val="00ED7D9F"/>
    <w:rsid w:val="00EE005D"/>
    <w:rsid w:val="00EE0095"/>
    <w:rsid w:val="00EE029C"/>
    <w:rsid w:val="00EE05C6"/>
    <w:rsid w:val="00EE07FA"/>
    <w:rsid w:val="00EE08B6"/>
    <w:rsid w:val="00EE09A6"/>
    <w:rsid w:val="00EE0A15"/>
    <w:rsid w:val="00EE0F4D"/>
    <w:rsid w:val="00EE106C"/>
    <w:rsid w:val="00EE1267"/>
    <w:rsid w:val="00EE13DA"/>
    <w:rsid w:val="00EE143F"/>
    <w:rsid w:val="00EE14C6"/>
    <w:rsid w:val="00EE1855"/>
    <w:rsid w:val="00EE19DF"/>
    <w:rsid w:val="00EE1B3B"/>
    <w:rsid w:val="00EE1E1F"/>
    <w:rsid w:val="00EE24B2"/>
    <w:rsid w:val="00EE289B"/>
    <w:rsid w:val="00EE2B68"/>
    <w:rsid w:val="00EE2D18"/>
    <w:rsid w:val="00EE324F"/>
    <w:rsid w:val="00EE342D"/>
    <w:rsid w:val="00EE366D"/>
    <w:rsid w:val="00EE3733"/>
    <w:rsid w:val="00EE382F"/>
    <w:rsid w:val="00EE395E"/>
    <w:rsid w:val="00EE39AF"/>
    <w:rsid w:val="00EE3C4E"/>
    <w:rsid w:val="00EE3FCC"/>
    <w:rsid w:val="00EE423D"/>
    <w:rsid w:val="00EE430F"/>
    <w:rsid w:val="00EE55EE"/>
    <w:rsid w:val="00EE5FB2"/>
    <w:rsid w:val="00EE633A"/>
    <w:rsid w:val="00EE6D70"/>
    <w:rsid w:val="00EE71B0"/>
    <w:rsid w:val="00EE71B2"/>
    <w:rsid w:val="00EE764B"/>
    <w:rsid w:val="00EE7AF6"/>
    <w:rsid w:val="00EE7F5B"/>
    <w:rsid w:val="00EF1386"/>
    <w:rsid w:val="00EF1433"/>
    <w:rsid w:val="00EF15DF"/>
    <w:rsid w:val="00EF1FF1"/>
    <w:rsid w:val="00EF2491"/>
    <w:rsid w:val="00EF256B"/>
    <w:rsid w:val="00EF2713"/>
    <w:rsid w:val="00EF27B6"/>
    <w:rsid w:val="00EF2948"/>
    <w:rsid w:val="00EF2E13"/>
    <w:rsid w:val="00EF2F60"/>
    <w:rsid w:val="00EF373D"/>
    <w:rsid w:val="00EF376C"/>
    <w:rsid w:val="00EF3B96"/>
    <w:rsid w:val="00EF409B"/>
    <w:rsid w:val="00EF4533"/>
    <w:rsid w:val="00EF4988"/>
    <w:rsid w:val="00EF4E74"/>
    <w:rsid w:val="00EF5277"/>
    <w:rsid w:val="00EF556D"/>
    <w:rsid w:val="00EF58EF"/>
    <w:rsid w:val="00EF5CAD"/>
    <w:rsid w:val="00EF5CDB"/>
    <w:rsid w:val="00EF5CF4"/>
    <w:rsid w:val="00EF5E27"/>
    <w:rsid w:val="00EF606E"/>
    <w:rsid w:val="00EF611F"/>
    <w:rsid w:val="00EF615C"/>
    <w:rsid w:val="00EF6986"/>
    <w:rsid w:val="00EF6C02"/>
    <w:rsid w:val="00EF6CC6"/>
    <w:rsid w:val="00EF6EB6"/>
    <w:rsid w:val="00EF76E1"/>
    <w:rsid w:val="00EF792F"/>
    <w:rsid w:val="00EF7F5A"/>
    <w:rsid w:val="00F00342"/>
    <w:rsid w:val="00F00351"/>
    <w:rsid w:val="00F0065F"/>
    <w:rsid w:val="00F006D0"/>
    <w:rsid w:val="00F00745"/>
    <w:rsid w:val="00F0077E"/>
    <w:rsid w:val="00F007B8"/>
    <w:rsid w:val="00F00A4C"/>
    <w:rsid w:val="00F00A6C"/>
    <w:rsid w:val="00F00F78"/>
    <w:rsid w:val="00F0129C"/>
    <w:rsid w:val="00F01488"/>
    <w:rsid w:val="00F018A1"/>
    <w:rsid w:val="00F01BF2"/>
    <w:rsid w:val="00F0258F"/>
    <w:rsid w:val="00F028F7"/>
    <w:rsid w:val="00F029AF"/>
    <w:rsid w:val="00F02D48"/>
    <w:rsid w:val="00F034F6"/>
    <w:rsid w:val="00F034F7"/>
    <w:rsid w:val="00F038CB"/>
    <w:rsid w:val="00F03C71"/>
    <w:rsid w:val="00F03EB4"/>
    <w:rsid w:val="00F04099"/>
    <w:rsid w:val="00F04583"/>
    <w:rsid w:val="00F04667"/>
    <w:rsid w:val="00F04677"/>
    <w:rsid w:val="00F046EB"/>
    <w:rsid w:val="00F049FC"/>
    <w:rsid w:val="00F04A42"/>
    <w:rsid w:val="00F04C2A"/>
    <w:rsid w:val="00F052E1"/>
    <w:rsid w:val="00F05AE6"/>
    <w:rsid w:val="00F05B66"/>
    <w:rsid w:val="00F05DE7"/>
    <w:rsid w:val="00F06666"/>
    <w:rsid w:val="00F0700E"/>
    <w:rsid w:val="00F07389"/>
    <w:rsid w:val="00F076B2"/>
    <w:rsid w:val="00F07967"/>
    <w:rsid w:val="00F07C41"/>
    <w:rsid w:val="00F10128"/>
    <w:rsid w:val="00F1030E"/>
    <w:rsid w:val="00F1080E"/>
    <w:rsid w:val="00F10925"/>
    <w:rsid w:val="00F10CF5"/>
    <w:rsid w:val="00F12781"/>
    <w:rsid w:val="00F128D1"/>
    <w:rsid w:val="00F12919"/>
    <w:rsid w:val="00F12F6C"/>
    <w:rsid w:val="00F1365D"/>
    <w:rsid w:val="00F138E4"/>
    <w:rsid w:val="00F139C4"/>
    <w:rsid w:val="00F13B7B"/>
    <w:rsid w:val="00F13CF1"/>
    <w:rsid w:val="00F13DAE"/>
    <w:rsid w:val="00F14263"/>
    <w:rsid w:val="00F14475"/>
    <w:rsid w:val="00F144B4"/>
    <w:rsid w:val="00F14A30"/>
    <w:rsid w:val="00F15701"/>
    <w:rsid w:val="00F157D8"/>
    <w:rsid w:val="00F16293"/>
    <w:rsid w:val="00F1659D"/>
    <w:rsid w:val="00F16A5B"/>
    <w:rsid w:val="00F16D6D"/>
    <w:rsid w:val="00F17120"/>
    <w:rsid w:val="00F17130"/>
    <w:rsid w:val="00F1761B"/>
    <w:rsid w:val="00F17B16"/>
    <w:rsid w:val="00F17D37"/>
    <w:rsid w:val="00F201AD"/>
    <w:rsid w:val="00F20508"/>
    <w:rsid w:val="00F205AF"/>
    <w:rsid w:val="00F2074D"/>
    <w:rsid w:val="00F20775"/>
    <w:rsid w:val="00F207F2"/>
    <w:rsid w:val="00F20C2D"/>
    <w:rsid w:val="00F20C8C"/>
    <w:rsid w:val="00F20D97"/>
    <w:rsid w:val="00F211FF"/>
    <w:rsid w:val="00F213E8"/>
    <w:rsid w:val="00F2146C"/>
    <w:rsid w:val="00F21481"/>
    <w:rsid w:val="00F21532"/>
    <w:rsid w:val="00F2167B"/>
    <w:rsid w:val="00F216F4"/>
    <w:rsid w:val="00F217D0"/>
    <w:rsid w:val="00F21B21"/>
    <w:rsid w:val="00F222BB"/>
    <w:rsid w:val="00F22DAB"/>
    <w:rsid w:val="00F23235"/>
    <w:rsid w:val="00F233C9"/>
    <w:rsid w:val="00F23B85"/>
    <w:rsid w:val="00F23EEE"/>
    <w:rsid w:val="00F23FD5"/>
    <w:rsid w:val="00F2491A"/>
    <w:rsid w:val="00F249CF"/>
    <w:rsid w:val="00F24A65"/>
    <w:rsid w:val="00F24CC2"/>
    <w:rsid w:val="00F24EF6"/>
    <w:rsid w:val="00F254E4"/>
    <w:rsid w:val="00F256D5"/>
    <w:rsid w:val="00F2570A"/>
    <w:rsid w:val="00F2667D"/>
    <w:rsid w:val="00F269C5"/>
    <w:rsid w:val="00F26AAB"/>
    <w:rsid w:val="00F26F5D"/>
    <w:rsid w:val="00F2759F"/>
    <w:rsid w:val="00F3009D"/>
    <w:rsid w:val="00F30136"/>
    <w:rsid w:val="00F30500"/>
    <w:rsid w:val="00F30C54"/>
    <w:rsid w:val="00F30C6D"/>
    <w:rsid w:val="00F30D29"/>
    <w:rsid w:val="00F30D2D"/>
    <w:rsid w:val="00F311C1"/>
    <w:rsid w:val="00F316E3"/>
    <w:rsid w:val="00F31A4B"/>
    <w:rsid w:val="00F31BD3"/>
    <w:rsid w:val="00F31E2E"/>
    <w:rsid w:val="00F32A4C"/>
    <w:rsid w:val="00F32D52"/>
    <w:rsid w:val="00F3350E"/>
    <w:rsid w:val="00F3354E"/>
    <w:rsid w:val="00F3359D"/>
    <w:rsid w:val="00F3381E"/>
    <w:rsid w:val="00F338A9"/>
    <w:rsid w:val="00F3436F"/>
    <w:rsid w:val="00F343B7"/>
    <w:rsid w:val="00F34C92"/>
    <w:rsid w:val="00F34D57"/>
    <w:rsid w:val="00F34DF0"/>
    <w:rsid w:val="00F35330"/>
    <w:rsid w:val="00F35405"/>
    <w:rsid w:val="00F35A69"/>
    <w:rsid w:val="00F35D19"/>
    <w:rsid w:val="00F36A6E"/>
    <w:rsid w:val="00F36A9D"/>
    <w:rsid w:val="00F36AC7"/>
    <w:rsid w:val="00F36B55"/>
    <w:rsid w:val="00F36C2F"/>
    <w:rsid w:val="00F377AE"/>
    <w:rsid w:val="00F37CF3"/>
    <w:rsid w:val="00F37F65"/>
    <w:rsid w:val="00F40402"/>
    <w:rsid w:val="00F40507"/>
    <w:rsid w:val="00F4077B"/>
    <w:rsid w:val="00F40A21"/>
    <w:rsid w:val="00F40AB1"/>
    <w:rsid w:val="00F40D3A"/>
    <w:rsid w:val="00F41269"/>
    <w:rsid w:val="00F41319"/>
    <w:rsid w:val="00F41D92"/>
    <w:rsid w:val="00F41F0D"/>
    <w:rsid w:val="00F42532"/>
    <w:rsid w:val="00F42F69"/>
    <w:rsid w:val="00F431C8"/>
    <w:rsid w:val="00F434DC"/>
    <w:rsid w:val="00F4357B"/>
    <w:rsid w:val="00F4366A"/>
    <w:rsid w:val="00F4399C"/>
    <w:rsid w:val="00F441A2"/>
    <w:rsid w:val="00F447ED"/>
    <w:rsid w:val="00F44885"/>
    <w:rsid w:val="00F4488E"/>
    <w:rsid w:val="00F44B13"/>
    <w:rsid w:val="00F44BCD"/>
    <w:rsid w:val="00F44D4E"/>
    <w:rsid w:val="00F45BE7"/>
    <w:rsid w:val="00F463D7"/>
    <w:rsid w:val="00F46473"/>
    <w:rsid w:val="00F464A7"/>
    <w:rsid w:val="00F464CA"/>
    <w:rsid w:val="00F465ED"/>
    <w:rsid w:val="00F46744"/>
    <w:rsid w:val="00F4687E"/>
    <w:rsid w:val="00F46900"/>
    <w:rsid w:val="00F47709"/>
    <w:rsid w:val="00F477E0"/>
    <w:rsid w:val="00F50163"/>
    <w:rsid w:val="00F50E17"/>
    <w:rsid w:val="00F510E2"/>
    <w:rsid w:val="00F513F3"/>
    <w:rsid w:val="00F515F1"/>
    <w:rsid w:val="00F51819"/>
    <w:rsid w:val="00F519A6"/>
    <w:rsid w:val="00F51A4D"/>
    <w:rsid w:val="00F51A8F"/>
    <w:rsid w:val="00F51CDD"/>
    <w:rsid w:val="00F51E81"/>
    <w:rsid w:val="00F52106"/>
    <w:rsid w:val="00F5218A"/>
    <w:rsid w:val="00F52529"/>
    <w:rsid w:val="00F52619"/>
    <w:rsid w:val="00F52690"/>
    <w:rsid w:val="00F5273A"/>
    <w:rsid w:val="00F527BE"/>
    <w:rsid w:val="00F52A9B"/>
    <w:rsid w:val="00F52CCF"/>
    <w:rsid w:val="00F52D4D"/>
    <w:rsid w:val="00F52D6B"/>
    <w:rsid w:val="00F52E18"/>
    <w:rsid w:val="00F535E2"/>
    <w:rsid w:val="00F53CC6"/>
    <w:rsid w:val="00F53E30"/>
    <w:rsid w:val="00F541B4"/>
    <w:rsid w:val="00F5438A"/>
    <w:rsid w:val="00F54516"/>
    <w:rsid w:val="00F5458D"/>
    <w:rsid w:val="00F546FB"/>
    <w:rsid w:val="00F5487A"/>
    <w:rsid w:val="00F548AF"/>
    <w:rsid w:val="00F54B02"/>
    <w:rsid w:val="00F54CC5"/>
    <w:rsid w:val="00F54F41"/>
    <w:rsid w:val="00F551B7"/>
    <w:rsid w:val="00F55335"/>
    <w:rsid w:val="00F55838"/>
    <w:rsid w:val="00F55CF7"/>
    <w:rsid w:val="00F55FD3"/>
    <w:rsid w:val="00F56060"/>
    <w:rsid w:val="00F560EB"/>
    <w:rsid w:val="00F566B9"/>
    <w:rsid w:val="00F56926"/>
    <w:rsid w:val="00F569B6"/>
    <w:rsid w:val="00F56A3A"/>
    <w:rsid w:val="00F56C01"/>
    <w:rsid w:val="00F56EDE"/>
    <w:rsid w:val="00F575A4"/>
    <w:rsid w:val="00F57A3A"/>
    <w:rsid w:val="00F57D1C"/>
    <w:rsid w:val="00F60149"/>
    <w:rsid w:val="00F602C7"/>
    <w:rsid w:val="00F6030C"/>
    <w:rsid w:val="00F60351"/>
    <w:rsid w:val="00F6077A"/>
    <w:rsid w:val="00F6086A"/>
    <w:rsid w:val="00F6107A"/>
    <w:rsid w:val="00F61313"/>
    <w:rsid w:val="00F613BE"/>
    <w:rsid w:val="00F61621"/>
    <w:rsid w:val="00F6169B"/>
    <w:rsid w:val="00F616DF"/>
    <w:rsid w:val="00F61726"/>
    <w:rsid w:val="00F61868"/>
    <w:rsid w:val="00F618D8"/>
    <w:rsid w:val="00F61A91"/>
    <w:rsid w:val="00F61A95"/>
    <w:rsid w:val="00F61D12"/>
    <w:rsid w:val="00F61D75"/>
    <w:rsid w:val="00F62364"/>
    <w:rsid w:val="00F62824"/>
    <w:rsid w:val="00F628D8"/>
    <w:rsid w:val="00F62D7C"/>
    <w:rsid w:val="00F63242"/>
    <w:rsid w:val="00F6334C"/>
    <w:rsid w:val="00F634C8"/>
    <w:rsid w:val="00F638F0"/>
    <w:rsid w:val="00F63957"/>
    <w:rsid w:val="00F639AB"/>
    <w:rsid w:val="00F63DB2"/>
    <w:rsid w:val="00F63EBB"/>
    <w:rsid w:val="00F6416F"/>
    <w:rsid w:val="00F648BA"/>
    <w:rsid w:val="00F64C00"/>
    <w:rsid w:val="00F64CF7"/>
    <w:rsid w:val="00F65526"/>
    <w:rsid w:val="00F65BAC"/>
    <w:rsid w:val="00F65BD2"/>
    <w:rsid w:val="00F65D90"/>
    <w:rsid w:val="00F66A47"/>
    <w:rsid w:val="00F66AC6"/>
    <w:rsid w:val="00F66F90"/>
    <w:rsid w:val="00F67076"/>
    <w:rsid w:val="00F67155"/>
    <w:rsid w:val="00F67222"/>
    <w:rsid w:val="00F676E3"/>
    <w:rsid w:val="00F7058F"/>
    <w:rsid w:val="00F705BE"/>
    <w:rsid w:val="00F70D21"/>
    <w:rsid w:val="00F70FC7"/>
    <w:rsid w:val="00F70FEF"/>
    <w:rsid w:val="00F71DB9"/>
    <w:rsid w:val="00F71F9B"/>
    <w:rsid w:val="00F71FB6"/>
    <w:rsid w:val="00F72258"/>
    <w:rsid w:val="00F72D8E"/>
    <w:rsid w:val="00F72DAF"/>
    <w:rsid w:val="00F72E63"/>
    <w:rsid w:val="00F72E65"/>
    <w:rsid w:val="00F73425"/>
    <w:rsid w:val="00F7380A"/>
    <w:rsid w:val="00F73AF2"/>
    <w:rsid w:val="00F73EE5"/>
    <w:rsid w:val="00F73F06"/>
    <w:rsid w:val="00F74095"/>
    <w:rsid w:val="00F742D2"/>
    <w:rsid w:val="00F746C2"/>
    <w:rsid w:val="00F74E9F"/>
    <w:rsid w:val="00F74F3A"/>
    <w:rsid w:val="00F75C02"/>
    <w:rsid w:val="00F76445"/>
    <w:rsid w:val="00F76981"/>
    <w:rsid w:val="00F76B3B"/>
    <w:rsid w:val="00F7766C"/>
    <w:rsid w:val="00F776E4"/>
    <w:rsid w:val="00F77ECB"/>
    <w:rsid w:val="00F8030C"/>
    <w:rsid w:val="00F80372"/>
    <w:rsid w:val="00F80602"/>
    <w:rsid w:val="00F80739"/>
    <w:rsid w:val="00F80849"/>
    <w:rsid w:val="00F809F1"/>
    <w:rsid w:val="00F80D39"/>
    <w:rsid w:val="00F812B1"/>
    <w:rsid w:val="00F812E3"/>
    <w:rsid w:val="00F81717"/>
    <w:rsid w:val="00F81936"/>
    <w:rsid w:val="00F819A0"/>
    <w:rsid w:val="00F81A74"/>
    <w:rsid w:val="00F81BF8"/>
    <w:rsid w:val="00F81E47"/>
    <w:rsid w:val="00F81FD0"/>
    <w:rsid w:val="00F8235D"/>
    <w:rsid w:val="00F824EF"/>
    <w:rsid w:val="00F825A1"/>
    <w:rsid w:val="00F827CD"/>
    <w:rsid w:val="00F831C5"/>
    <w:rsid w:val="00F832E0"/>
    <w:rsid w:val="00F83A1A"/>
    <w:rsid w:val="00F83C27"/>
    <w:rsid w:val="00F83C44"/>
    <w:rsid w:val="00F83DB7"/>
    <w:rsid w:val="00F84408"/>
    <w:rsid w:val="00F84618"/>
    <w:rsid w:val="00F84BAD"/>
    <w:rsid w:val="00F85614"/>
    <w:rsid w:val="00F859C5"/>
    <w:rsid w:val="00F85A63"/>
    <w:rsid w:val="00F85A72"/>
    <w:rsid w:val="00F85AA8"/>
    <w:rsid w:val="00F86474"/>
    <w:rsid w:val="00F866D9"/>
    <w:rsid w:val="00F868B4"/>
    <w:rsid w:val="00F86B3B"/>
    <w:rsid w:val="00F8730A"/>
    <w:rsid w:val="00F87625"/>
    <w:rsid w:val="00F8772B"/>
    <w:rsid w:val="00F87D9C"/>
    <w:rsid w:val="00F87E64"/>
    <w:rsid w:val="00F87F78"/>
    <w:rsid w:val="00F9016F"/>
    <w:rsid w:val="00F90601"/>
    <w:rsid w:val="00F90856"/>
    <w:rsid w:val="00F908BE"/>
    <w:rsid w:val="00F90917"/>
    <w:rsid w:val="00F909B4"/>
    <w:rsid w:val="00F90A5D"/>
    <w:rsid w:val="00F90B5F"/>
    <w:rsid w:val="00F9106F"/>
    <w:rsid w:val="00F9140D"/>
    <w:rsid w:val="00F915C2"/>
    <w:rsid w:val="00F91BCA"/>
    <w:rsid w:val="00F92219"/>
    <w:rsid w:val="00F92406"/>
    <w:rsid w:val="00F92CED"/>
    <w:rsid w:val="00F931BB"/>
    <w:rsid w:val="00F932B3"/>
    <w:rsid w:val="00F9331E"/>
    <w:rsid w:val="00F9369D"/>
    <w:rsid w:val="00F93703"/>
    <w:rsid w:val="00F9373E"/>
    <w:rsid w:val="00F94027"/>
    <w:rsid w:val="00F9445B"/>
    <w:rsid w:val="00F94540"/>
    <w:rsid w:val="00F94870"/>
    <w:rsid w:val="00F949AC"/>
    <w:rsid w:val="00F94AC1"/>
    <w:rsid w:val="00F94C95"/>
    <w:rsid w:val="00F94D80"/>
    <w:rsid w:val="00F94F34"/>
    <w:rsid w:val="00F951B5"/>
    <w:rsid w:val="00F95379"/>
    <w:rsid w:val="00F956A1"/>
    <w:rsid w:val="00F9591A"/>
    <w:rsid w:val="00F976C4"/>
    <w:rsid w:val="00F977FC"/>
    <w:rsid w:val="00F97937"/>
    <w:rsid w:val="00FA0032"/>
    <w:rsid w:val="00FA1128"/>
    <w:rsid w:val="00FA1577"/>
    <w:rsid w:val="00FA190C"/>
    <w:rsid w:val="00FA195C"/>
    <w:rsid w:val="00FA2088"/>
    <w:rsid w:val="00FA2143"/>
    <w:rsid w:val="00FA248F"/>
    <w:rsid w:val="00FA24C2"/>
    <w:rsid w:val="00FA2649"/>
    <w:rsid w:val="00FA2A2A"/>
    <w:rsid w:val="00FA2A34"/>
    <w:rsid w:val="00FA2AE5"/>
    <w:rsid w:val="00FA2F2C"/>
    <w:rsid w:val="00FA3664"/>
    <w:rsid w:val="00FA3E8B"/>
    <w:rsid w:val="00FA4493"/>
    <w:rsid w:val="00FA4D30"/>
    <w:rsid w:val="00FA4F75"/>
    <w:rsid w:val="00FA528C"/>
    <w:rsid w:val="00FA5AB9"/>
    <w:rsid w:val="00FA5E31"/>
    <w:rsid w:val="00FA5F1B"/>
    <w:rsid w:val="00FA61B5"/>
    <w:rsid w:val="00FA6913"/>
    <w:rsid w:val="00FA6BE6"/>
    <w:rsid w:val="00FA78FD"/>
    <w:rsid w:val="00FA7942"/>
    <w:rsid w:val="00FA7CF9"/>
    <w:rsid w:val="00FB044B"/>
    <w:rsid w:val="00FB0780"/>
    <w:rsid w:val="00FB0807"/>
    <w:rsid w:val="00FB0898"/>
    <w:rsid w:val="00FB095B"/>
    <w:rsid w:val="00FB0A23"/>
    <w:rsid w:val="00FB0E88"/>
    <w:rsid w:val="00FB0EB6"/>
    <w:rsid w:val="00FB11BE"/>
    <w:rsid w:val="00FB1357"/>
    <w:rsid w:val="00FB135D"/>
    <w:rsid w:val="00FB1453"/>
    <w:rsid w:val="00FB1799"/>
    <w:rsid w:val="00FB1B56"/>
    <w:rsid w:val="00FB1D70"/>
    <w:rsid w:val="00FB2206"/>
    <w:rsid w:val="00FB2422"/>
    <w:rsid w:val="00FB255A"/>
    <w:rsid w:val="00FB267C"/>
    <w:rsid w:val="00FB27F1"/>
    <w:rsid w:val="00FB29BD"/>
    <w:rsid w:val="00FB2D85"/>
    <w:rsid w:val="00FB2E49"/>
    <w:rsid w:val="00FB2F8F"/>
    <w:rsid w:val="00FB3060"/>
    <w:rsid w:val="00FB3653"/>
    <w:rsid w:val="00FB3B50"/>
    <w:rsid w:val="00FB40BC"/>
    <w:rsid w:val="00FB44F5"/>
    <w:rsid w:val="00FB465B"/>
    <w:rsid w:val="00FB495F"/>
    <w:rsid w:val="00FB4B90"/>
    <w:rsid w:val="00FB4C6F"/>
    <w:rsid w:val="00FB4F2A"/>
    <w:rsid w:val="00FB5078"/>
    <w:rsid w:val="00FB5344"/>
    <w:rsid w:val="00FB5489"/>
    <w:rsid w:val="00FB5527"/>
    <w:rsid w:val="00FB575F"/>
    <w:rsid w:val="00FB57A2"/>
    <w:rsid w:val="00FB5BD4"/>
    <w:rsid w:val="00FB5BF6"/>
    <w:rsid w:val="00FB67A6"/>
    <w:rsid w:val="00FB6D60"/>
    <w:rsid w:val="00FB6F35"/>
    <w:rsid w:val="00FB7744"/>
    <w:rsid w:val="00FB7997"/>
    <w:rsid w:val="00FB7D0B"/>
    <w:rsid w:val="00FC00F8"/>
    <w:rsid w:val="00FC012B"/>
    <w:rsid w:val="00FC041F"/>
    <w:rsid w:val="00FC09F1"/>
    <w:rsid w:val="00FC0ABF"/>
    <w:rsid w:val="00FC0D6F"/>
    <w:rsid w:val="00FC153F"/>
    <w:rsid w:val="00FC1B53"/>
    <w:rsid w:val="00FC1BEE"/>
    <w:rsid w:val="00FC21D0"/>
    <w:rsid w:val="00FC29DA"/>
    <w:rsid w:val="00FC2A1E"/>
    <w:rsid w:val="00FC2F3A"/>
    <w:rsid w:val="00FC339B"/>
    <w:rsid w:val="00FC33F0"/>
    <w:rsid w:val="00FC3966"/>
    <w:rsid w:val="00FC3B3C"/>
    <w:rsid w:val="00FC3DDF"/>
    <w:rsid w:val="00FC430A"/>
    <w:rsid w:val="00FC4324"/>
    <w:rsid w:val="00FC4418"/>
    <w:rsid w:val="00FC4523"/>
    <w:rsid w:val="00FC45D1"/>
    <w:rsid w:val="00FC482C"/>
    <w:rsid w:val="00FC4A3E"/>
    <w:rsid w:val="00FC535D"/>
    <w:rsid w:val="00FC5465"/>
    <w:rsid w:val="00FC5486"/>
    <w:rsid w:val="00FC5865"/>
    <w:rsid w:val="00FC5B6C"/>
    <w:rsid w:val="00FC5E76"/>
    <w:rsid w:val="00FC62E7"/>
    <w:rsid w:val="00FC69CF"/>
    <w:rsid w:val="00FC6C71"/>
    <w:rsid w:val="00FC6DF9"/>
    <w:rsid w:val="00FC71D8"/>
    <w:rsid w:val="00FC7214"/>
    <w:rsid w:val="00FC775B"/>
    <w:rsid w:val="00FC79A9"/>
    <w:rsid w:val="00FC7B26"/>
    <w:rsid w:val="00FC7BFC"/>
    <w:rsid w:val="00FC7CBF"/>
    <w:rsid w:val="00FC7FB3"/>
    <w:rsid w:val="00FD0040"/>
    <w:rsid w:val="00FD058F"/>
    <w:rsid w:val="00FD08AD"/>
    <w:rsid w:val="00FD0B70"/>
    <w:rsid w:val="00FD0D01"/>
    <w:rsid w:val="00FD0E17"/>
    <w:rsid w:val="00FD0F29"/>
    <w:rsid w:val="00FD10F2"/>
    <w:rsid w:val="00FD1114"/>
    <w:rsid w:val="00FD11B8"/>
    <w:rsid w:val="00FD1440"/>
    <w:rsid w:val="00FD1489"/>
    <w:rsid w:val="00FD1494"/>
    <w:rsid w:val="00FD17D7"/>
    <w:rsid w:val="00FD2672"/>
    <w:rsid w:val="00FD2934"/>
    <w:rsid w:val="00FD2DA9"/>
    <w:rsid w:val="00FD35C1"/>
    <w:rsid w:val="00FD35FA"/>
    <w:rsid w:val="00FD3B19"/>
    <w:rsid w:val="00FD42B1"/>
    <w:rsid w:val="00FD4BC9"/>
    <w:rsid w:val="00FD5198"/>
    <w:rsid w:val="00FD56D9"/>
    <w:rsid w:val="00FD59F1"/>
    <w:rsid w:val="00FD5A8C"/>
    <w:rsid w:val="00FD66A4"/>
    <w:rsid w:val="00FD6924"/>
    <w:rsid w:val="00FD6B66"/>
    <w:rsid w:val="00FD6E4F"/>
    <w:rsid w:val="00FD6FE2"/>
    <w:rsid w:val="00FD6FFB"/>
    <w:rsid w:val="00FD74CB"/>
    <w:rsid w:val="00FD7543"/>
    <w:rsid w:val="00FD7BF5"/>
    <w:rsid w:val="00FE013C"/>
    <w:rsid w:val="00FE027E"/>
    <w:rsid w:val="00FE0D47"/>
    <w:rsid w:val="00FE0EF2"/>
    <w:rsid w:val="00FE0F8A"/>
    <w:rsid w:val="00FE0FBD"/>
    <w:rsid w:val="00FE1059"/>
    <w:rsid w:val="00FE185C"/>
    <w:rsid w:val="00FE1981"/>
    <w:rsid w:val="00FE1BD0"/>
    <w:rsid w:val="00FE1DAF"/>
    <w:rsid w:val="00FE21AA"/>
    <w:rsid w:val="00FE38BD"/>
    <w:rsid w:val="00FE3C5F"/>
    <w:rsid w:val="00FE401B"/>
    <w:rsid w:val="00FE407C"/>
    <w:rsid w:val="00FE441B"/>
    <w:rsid w:val="00FE4705"/>
    <w:rsid w:val="00FE49E3"/>
    <w:rsid w:val="00FE557C"/>
    <w:rsid w:val="00FE55A1"/>
    <w:rsid w:val="00FE55B3"/>
    <w:rsid w:val="00FE56DF"/>
    <w:rsid w:val="00FE56F5"/>
    <w:rsid w:val="00FE5BA6"/>
    <w:rsid w:val="00FE63FD"/>
    <w:rsid w:val="00FE710C"/>
    <w:rsid w:val="00FE7D8A"/>
    <w:rsid w:val="00FE7E16"/>
    <w:rsid w:val="00FF0321"/>
    <w:rsid w:val="00FF03E0"/>
    <w:rsid w:val="00FF08B9"/>
    <w:rsid w:val="00FF0A7F"/>
    <w:rsid w:val="00FF0C42"/>
    <w:rsid w:val="00FF0E58"/>
    <w:rsid w:val="00FF0E9B"/>
    <w:rsid w:val="00FF1702"/>
    <w:rsid w:val="00FF1AC1"/>
    <w:rsid w:val="00FF1B15"/>
    <w:rsid w:val="00FF2A8B"/>
    <w:rsid w:val="00FF2E94"/>
    <w:rsid w:val="00FF31AC"/>
    <w:rsid w:val="00FF3AED"/>
    <w:rsid w:val="00FF3C98"/>
    <w:rsid w:val="00FF3E7B"/>
    <w:rsid w:val="00FF41AD"/>
    <w:rsid w:val="00FF48E2"/>
    <w:rsid w:val="00FF4BAE"/>
    <w:rsid w:val="00FF4C3A"/>
    <w:rsid w:val="00FF4D73"/>
    <w:rsid w:val="00FF50FD"/>
    <w:rsid w:val="00FF5614"/>
    <w:rsid w:val="00FF62F4"/>
    <w:rsid w:val="00FF63AF"/>
    <w:rsid w:val="00FF6519"/>
    <w:rsid w:val="00FF6B05"/>
    <w:rsid w:val="00FF6ED1"/>
    <w:rsid w:val="00FF6F18"/>
    <w:rsid w:val="00FF70C6"/>
    <w:rsid w:val="00FF7276"/>
    <w:rsid w:val="00FF75FD"/>
    <w:rsid w:val="00FF778F"/>
    <w:rsid w:val="00FF7942"/>
    <w:rsid w:val="00FF79B5"/>
    <w:rsid w:val="00FF7CE8"/>
    <w:rsid w:val="00FF7D31"/>
    <w:rsid w:val="00FF7D7E"/>
    <w:rsid w:val="014CD007"/>
    <w:rsid w:val="02C1C909"/>
    <w:rsid w:val="02EA33FF"/>
    <w:rsid w:val="032744DC"/>
    <w:rsid w:val="088CC1A4"/>
    <w:rsid w:val="0967892C"/>
    <w:rsid w:val="09A01527"/>
    <w:rsid w:val="0A8B1091"/>
    <w:rsid w:val="0C548954"/>
    <w:rsid w:val="0D9D08C5"/>
    <w:rsid w:val="124D35A7"/>
    <w:rsid w:val="13BDCEEE"/>
    <w:rsid w:val="142434C7"/>
    <w:rsid w:val="176E548D"/>
    <w:rsid w:val="1B985681"/>
    <w:rsid w:val="1D9F2AE7"/>
    <w:rsid w:val="1FDA84B3"/>
    <w:rsid w:val="208C65E8"/>
    <w:rsid w:val="214F2806"/>
    <w:rsid w:val="225072D1"/>
    <w:rsid w:val="23AB87C2"/>
    <w:rsid w:val="24B6ACAA"/>
    <w:rsid w:val="26B0D61F"/>
    <w:rsid w:val="2798804D"/>
    <w:rsid w:val="28E96572"/>
    <w:rsid w:val="2A35F9ED"/>
    <w:rsid w:val="2DF75048"/>
    <w:rsid w:val="3034A34D"/>
    <w:rsid w:val="32A09FBD"/>
    <w:rsid w:val="34F8078E"/>
    <w:rsid w:val="36969D34"/>
    <w:rsid w:val="3874D210"/>
    <w:rsid w:val="398C5778"/>
    <w:rsid w:val="3A7A386F"/>
    <w:rsid w:val="3A7CA295"/>
    <w:rsid w:val="3BF0D249"/>
    <w:rsid w:val="3D06D312"/>
    <w:rsid w:val="40CCFA40"/>
    <w:rsid w:val="465756C3"/>
    <w:rsid w:val="4872004E"/>
    <w:rsid w:val="4902E511"/>
    <w:rsid w:val="4910BF70"/>
    <w:rsid w:val="4BED9BE0"/>
    <w:rsid w:val="4C5FC227"/>
    <w:rsid w:val="4D1DB02B"/>
    <w:rsid w:val="4E9B1BF3"/>
    <w:rsid w:val="4FA5377B"/>
    <w:rsid w:val="51B1C26C"/>
    <w:rsid w:val="51FA9033"/>
    <w:rsid w:val="52B3BDBA"/>
    <w:rsid w:val="55FF4F5A"/>
    <w:rsid w:val="5B206E40"/>
    <w:rsid w:val="5BC6E817"/>
    <w:rsid w:val="5C8CAD31"/>
    <w:rsid w:val="5EC9392A"/>
    <w:rsid w:val="60BC6ED3"/>
    <w:rsid w:val="6705375F"/>
    <w:rsid w:val="6990773E"/>
    <w:rsid w:val="6BC41655"/>
    <w:rsid w:val="6C568836"/>
    <w:rsid w:val="6CEDF245"/>
    <w:rsid w:val="72E8E178"/>
    <w:rsid w:val="76DEB667"/>
    <w:rsid w:val="770591A8"/>
    <w:rsid w:val="78653644"/>
    <w:rsid w:val="78D7E90C"/>
    <w:rsid w:val="7A455A2A"/>
    <w:rsid w:val="7D5FD77B"/>
    <w:rsid w:val="7F8ABF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5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583B"/>
    <w:pPr>
      <w:tabs>
        <w:tab w:val="left" w:pos="567"/>
      </w:tabs>
      <w:spacing w:line="260" w:lineRule="exact"/>
    </w:pPr>
    <w:rPr>
      <w:rFonts w:eastAsia="Times New Roman"/>
      <w:sz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8306"/>
      </w:tabs>
    </w:pPr>
    <w:rPr>
      <w:rFonts w:ascii="Arial" w:hAnsi="Arial"/>
      <w:noProof/>
      <w:sz w:val="16"/>
    </w:rPr>
  </w:style>
  <w:style w:type="paragraph" w:styleId="Koptekst">
    <w:name w:val="header"/>
    <w:basedOn w:val="Standaard"/>
    <w:link w:val="KoptekstChar"/>
    <w:pPr>
      <w:tabs>
        <w:tab w:val="center" w:pos="4153"/>
        <w:tab w:val="right" w:pos="8306"/>
      </w:tabs>
    </w:pPr>
    <w:rPr>
      <w:rFonts w:ascii="Arial" w:hAnsi="Arial"/>
      <w:sz w:val="20"/>
    </w:rPr>
  </w:style>
  <w:style w:type="paragraph" w:customStyle="1" w:styleId="MemoHeaderStyle">
    <w:name w:val="MemoHeaderStyle"/>
    <w:basedOn w:val="Standaard"/>
    <w:next w:val="Standaard"/>
    <w:pPr>
      <w:spacing w:line="120" w:lineRule="atLeast"/>
      <w:ind w:left="1418"/>
      <w:jc w:val="both"/>
    </w:pPr>
    <w:rPr>
      <w:rFonts w:ascii="Arial" w:hAnsi="Arial"/>
      <w:b/>
      <w:smallCaps/>
    </w:rPr>
  </w:style>
  <w:style w:type="character" w:styleId="Paginanummer">
    <w:name w:val="page number"/>
    <w:basedOn w:val="Standaardalinea-lettertype"/>
    <w:rsid w:val="00812D16"/>
  </w:style>
  <w:style w:type="paragraph" w:styleId="Plattetekst">
    <w:name w:val="Body Text"/>
    <w:basedOn w:val="Standaard"/>
    <w:rsid w:val="00812D16"/>
    <w:pPr>
      <w:tabs>
        <w:tab w:val="clear" w:pos="567"/>
      </w:tabs>
      <w:spacing w:line="240" w:lineRule="auto"/>
    </w:pPr>
    <w:rPr>
      <w:i/>
      <w:color w:val="008000"/>
    </w:rPr>
  </w:style>
  <w:style w:type="paragraph" w:styleId="Tekstopmerking">
    <w:name w:val="annotation text"/>
    <w:aliases w:val=" Car17, Car17 Car, Char Char Char, Char Char1,Annotationtext,Cha,Char,Char Char Char,Char Char1,Comment Text Char Char,Comment Text Char Char Char,Comment Text Char Char1 Char,Comment Text Char1,Comment Text Char1 Char"/>
    <w:basedOn w:val="Standaard"/>
    <w:link w:val="Tekstopmerking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ard"/>
    <w:rsid w:val="00812D16"/>
    <w:pPr>
      <w:tabs>
        <w:tab w:val="clear" w:pos="567"/>
      </w:tabs>
      <w:spacing w:before="120" w:after="120" w:line="240" w:lineRule="auto"/>
      <w:jc w:val="both"/>
    </w:pPr>
  </w:style>
  <w:style w:type="paragraph" w:styleId="Ballontekst">
    <w:name w:val="Balloon Text"/>
    <w:basedOn w:val="Standaard"/>
    <w:link w:val="BallontekstChar"/>
    <w:uiPriority w:val="99"/>
    <w:semiHidden/>
    <w:rsid w:val="00A20C7F"/>
    <w:rPr>
      <w:rFonts w:ascii="Tahoma" w:hAnsi="Tahoma" w:cs="Tahoma"/>
      <w:sz w:val="16"/>
      <w:szCs w:val="16"/>
    </w:rPr>
  </w:style>
  <w:style w:type="paragraph" w:customStyle="1" w:styleId="BodytextAgency">
    <w:name w:val="Body text (Agency)"/>
    <w:basedOn w:val="Standa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fr-FR" w:eastAsia="en-GB" w:bidi="ar-SA"/>
    </w:rPr>
  </w:style>
  <w:style w:type="paragraph" w:customStyle="1" w:styleId="DraftingNotesAgency">
    <w:name w:val="Drafting Notes (Agency)"/>
    <w:basedOn w:val="Standa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r-FR"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Standaardtabe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fr-FR" w:eastAsia="en-GB" w:bidi="ar-SA"/>
    </w:rPr>
  </w:style>
  <w:style w:type="character" w:styleId="Verwijzingopmerking">
    <w:name w:val="annotation reference"/>
    <w:uiPriority w:val="99"/>
    <w:qFormat/>
    <w:rsid w:val="00BC6DC2"/>
    <w:rPr>
      <w:sz w:val="16"/>
      <w:szCs w:val="16"/>
    </w:rPr>
  </w:style>
  <w:style w:type="paragraph" w:styleId="Onderwerpvanopmerking">
    <w:name w:val="annotation subject"/>
    <w:basedOn w:val="Tekstopmerking"/>
    <w:next w:val="Tekstopmerking"/>
    <w:link w:val="OnderwerpvanopmerkingChar"/>
    <w:rsid w:val="00BC6DC2"/>
    <w:rPr>
      <w:b/>
      <w:bCs/>
    </w:rPr>
  </w:style>
  <w:style w:type="character" w:customStyle="1" w:styleId="TekstopmerkingChar">
    <w:name w:val="Tekst opmerking Char"/>
    <w:aliases w:val=" Car17 Char, Car17 Car Char, Char Char Char Char, Char Char1 Char,Annotationtext Char,Cha Char,Char Char,Char Char Char Char,Char Char1 Char,Comment Text Char Char Char1,Comment Text Char Char Char Char,Comment Text Char1 Char1"/>
    <w:link w:val="Tekstopmerking"/>
    <w:uiPriority w:val="99"/>
    <w:qFormat/>
    <w:rsid w:val="00BC6DC2"/>
    <w:rPr>
      <w:rFonts w:eastAsia="Times New Roman"/>
      <w:lang w:eastAsia="en-US"/>
    </w:rPr>
  </w:style>
  <w:style w:type="character" w:customStyle="1" w:styleId="OnderwerpvanopmerkingChar">
    <w:name w:val="Onderwerp van opmerking Char"/>
    <w:link w:val="Onderwerpvanopmerking"/>
    <w:rsid w:val="00BC6DC2"/>
    <w:rPr>
      <w:rFonts w:eastAsia="Times New Roman"/>
      <w:b/>
      <w:bCs/>
      <w:lang w:eastAsia="en-US"/>
    </w:rPr>
  </w:style>
  <w:style w:type="paragraph" w:styleId="Revisie">
    <w:name w:val="Revision"/>
    <w:hidden/>
    <w:uiPriority w:val="99"/>
    <w:semiHidden/>
    <w:rsid w:val="00B21BE7"/>
    <w:rPr>
      <w:rFonts w:eastAsia="Times New Roman"/>
      <w:sz w:val="22"/>
      <w:lang w:eastAsia="en-US"/>
    </w:rPr>
  </w:style>
  <w:style w:type="table" w:styleId="Tabelraster">
    <w:name w:val="Table Grid"/>
    <w:basedOn w:val="Standaardtabel"/>
    <w:rsid w:val="007B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3CD"/>
    <w:pPr>
      <w:autoSpaceDE w:val="0"/>
      <w:autoSpaceDN w:val="0"/>
      <w:adjustRightInd w:val="0"/>
    </w:pPr>
    <w:rPr>
      <w:color w:val="000000"/>
      <w:sz w:val="24"/>
      <w:szCs w:val="24"/>
    </w:rPr>
  </w:style>
  <w:style w:type="paragraph" w:customStyle="1" w:styleId="TblFootnote">
    <w:name w:val="Tbl Footnote"/>
    <w:basedOn w:val="Standaard"/>
    <w:next w:val="Standaard"/>
    <w:link w:val="TblFootnoteChar"/>
    <w:uiPriority w:val="99"/>
    <w:qFormat/>
    <w:rsid w:val="004931FA"/>
    <w:pPr>
      <w:keepNext/>
      <w:keepLines/>
      <w:tabs>
        <w:tab w:val="clear" w:pos="567"/>
        <w:tab w:val="left" w:pos="259"/>
      </w:tabs>
      <w:spacing w:line="259" w:lineRule="atLeast"/>
      <w:ind w:left="259" w:hanging="259"/>
    </w:pPr>
    <w:rPr>
      <w:sz w:val="20"/>
    </w:rPr>
  </w:style>
  <w:style w:type="character" w:customStyle="1" w:styleId="TblFootnoteChar">
    <w:name w:val="Tbl Footnote Char"/>
    <w:link w:val="TblFootnote"/>
    <w:uiPriority w:val="99"/>
    <w:rsid w:val="004931FA"/>
    <w:rPr>
      <w:rFonts w:eastAsia="Times New Roman"/>
      <w:lang w:val="fr-FR" w:eastAsia="en-US"/>
    </w:rPr>
  </w:style>
  <w:style w:type="character" w:customStyle="1" w:styleId="KoptekstChar">
    <w:name w:val="Koptekst Char"/>
    <w:link w:val="Koptekst"/>
    <w:rsid w:val="004931FA"/>
    <w:rPr>
      <w:rFonts w:ascii="Arial" w:eastAsia="Times New Roman" w:hAnsi="Arial"/>
      <w:lang w:eastAsia="en-US"/>
    </w:rPr>
  </w:style>
  <w:style w:type="paragraph" w:customStyle="1" w:styleId="PLRTextUnindented">
    <w:name w:val="PLR_Text_Unindented"/>
    <w:basedOn w:val="Standaard"/>
    <w:link w:val="PLRTextUnindentedChar"/>
    <w:rsid w:val="00731938"/>
    <w:pPr>
      <w:tabs>
        <w:tab w:val="clear" w:pos="567"/>
      </w:tabs>
      <w:spacing w:line="240" w:lineRule="auto"/>
    </w:pPr>
    <w:rPr>
      <w:rFonts w:ascii="Arial" w:hAnsi="Arial"/>
      <w:sz w:val="20"/>
    </w:rPr>
  </w:style>
  <w:style w:type="character" w:customStyle="1" w:styleId="PLRTextUnindentedChar">
    <w:name w:val="PLR_Text_Unindented Char"/>
    <w:link w:val="PLRTextUnindented"/>
    <w:rsid w:val="00731938"/>
    <w:rPr>
      <w:rFonts w:ascii="Arial" w:eastAsia="Times New Roman" w:hAnsi="Arial"/>
      <w:lang w:val="fr-FR" w:eastAsia="en-US"/>
    </w:rPr>
  </w:style>
  <w:style w:type="paragraph" w:customStyle="1" w:styleId="PLRBodyTextIndented">
    <w:name w:val="PLR_Body Text Indented"/>
    <w:link w:val="PLRBodyTextIndentedCharChar"/>
    <w:rsid w:val="00731938"/>
    <w:pPr>
      <w:ind w:firstLine="648"/>
    </w:pPr>
    <w:rPr>
      <w:rFonts w:ascii="Arial" w:eastAsia="Times New Roman" w:hAnsi="Arial"/>
      <w:lang w:eastAsia="en-US"/>
    </w:rPr>
  </w:style>
  <w:style w:type="character" w:customStyle="1" w:styleId="PLRBodyTextIndentedCharChar">
    <w:name w:val="PLR_Body Text Indented Char Char"/>
    <w:link w:val="PLRBodyTextIndented"/>
    <w:rsid w:val="00731938"/>
    <w:rPr>
      <w:rFonts w:ascii="Arial" w:eastAsia="Times New Roman" w:hAnsi="Arial"/>
      <w:lang w:val="fr-FR" w:eastAsia="en-US"/>
    </w:rPr>
  </w:style>
  <w:style w:type="paragraph" w:customStyle="1" w:styleId="PLRHeading2">
    <w:name w:val="PLR_Heading 2"/>
    <w:basedOn w:val="Standaard"/>
    <w:next w:val="PLRBodyTextIndented"/>
    <w:rsid w:val="00731938"/>
    <w:pPr>
      <w:tabs>
        <w:tab w:val="clear" w:pos="567"/>
        <w:tab w:val="left" w:pos="648"/>
      </w:tabs>
      <w:spacing w:before="60" w:line="240" w:lineRule="auto"/>
    </w:pPr>
    <w:rPr>
      <w:rFonts w:ascii="Arial" w:hAnsi="Arial"/>
      <w:b/>
      <w:sz w:val="20"/>
    </w:rPr>
  </w:style>
  <w:style w:type="character" w:styleId="GevolgdeHyperlink">
    <w:name w:val="FollowedHyperlink"/>
    <w:basedOn w:val="Standaardalinea-lettertype"/>
    <w:rsid w:val="00A215BC"/>
    <w:rPr>
      <w:color w:val="954F72" w:themeColor="followedHyperlink"/>
      <w:u w:val="single"/>
    </w:rPr>
  </w:style>
  <w:style w:type="paragraph" w:styleId="Normaalweb">
    <w:name w:val="Normal (Web)"/>
    <w:basedOn w:val="Standaard"/>
    <w:uiPriority w:val="99"/>
    <w:unhideWhenUsed/>
    <w:rsid w:val="009303E2"/>
    <w:pPr>
      <w:tabs>
        <w:tab w:val="clear" w:pos="567"/>
      </w:tabs>
      <w:spacing w:before="100" w:beforeAutospacing="1" w:after="100" w:afterAutospacing="1" w:line="240" w:lineRule="auto"/>
    </w:pPr>
    <w:rPr>
      <w:sz w:val="24"/>
      <w:szCs w:val="24"/>
      <w:lang w:eastAsia="en-GB"/>
    </w:rPr>
  </w:style>
  <w:style w:type="character" w:customStyle="1" w:styleId="cf01">
    <w:name w:val="cf01"/>
    <w:basedOn w:val="Standaardalinea-lettertype"/>
    <w:rsid w:val="009303E2"/>
    <w:rPr>
      <w:rFonts w:ascii="Segoe UI" w:hAnsi="Segoe UI" w:cs="Segoe UI" w:hint="default"/>
      <w:b/>
      <w:bCs/>
      <w:color w:val="262626"/>
      <w:sz w:val="28"/>
      <w:szCs w:val="28"/>
    </w:rPr>
  </w:style>
  <w:style w:type="paragraph" w:styleId="Lijstalinea">
    <w:name w:val="List Paragraph"/>
    <w:basedOn w:val="Standaard"/>
    <w:link w:val="LijstalineaChar"/>
    <w:uiPriority w:val="34"/>
    <w:qFormat/>
    <w:rsid w:val="00114062"/>
    <w:pPr>
      <w:ind w:left="720"/>
      <w:contextualSpacing/>
    </w:pPr>
  </w:style>
  <w:style w:type="character" w:customStyle="1" w:styleId="Mention1">
    <w:name w:val="Mention1"/>
    <w:basedOn w:val="Standaardalinea-lettertype"/>
    <w:uiPriority w:val="99"/>
    <w:unhideWhenUsed/>
    <w:rsid w:val="002C6FD2"/>
    <w:rPr>
      <w:color w:val="2B579A"/>
      <w:shd w:val="clear" w:color="auto" w:fill="E1DFDD"/>
    </w:rPr>
  </w:style>
  <w:style w:type="paragraph" w:customStyle="1" w:styleId="CovanceBodyText">
    <w:name w:val="Covance Body Text"/>
    <w:basedOn w:val="Plattetekst"/>
    <w:link w:val="CovanceBodyTextChar"/>
    <w:qFormat/>
    <w:rsid w:val="00AA587B"/>
    <w:pPr>
      <w:spacing w:before="240" w:after="240"/>
    </w:pPr>
    <w:rPr>
      <w:i w:val="0"/>
      <w:snapToGrid w:val="0"/>
      <w:color w:val="auto"/>
      <w:sz w:val="24"/>
      <w:szCs w:val="24"/>
    </w:rPr>
  </w:style>
  <w:style w:type="character" w:customStyle="1" w:styleId="CovanceBodyTextChar">
    <w:name w:val="Covance Body Text Char"/>
    <w:basedOn w:val="Standaardalinea-lettertype"/>
    <w:link w:val="CovanceBodyText"/>
    <w:rsid w:val="00AA587B"/>
    <w:rPr>
      <w:rFonts w:eastAsia="Times New Roman"/>
      <w:snapToGrid w:val="0"/>
      <w:sz w:val="24"/>
      <w:szCs w:val="24"/>
      <w:lang w:val="fr-FR" w:eastAsia="en-US"/>
    </w:rPr>
  </w:style>
  <w:style w:type="character" w:customStyle="1" w:styleId="Mentionnonrsolue1">
    <w:name w:val="Mention non résolue1"/>
    <w:basedOn w:val="Standaardalinea-lettertype"/>
    <w:uiPriority w:val="99"/>
    <w:rsid w:val="008F2E35"/>
    <w:rPr>
      <w:color w:val="605E5C"/>
      <w:shd w:val="clear" w:color="auto" w:fill="E1DFDD"/>
    </w:rPr>
  </w:style>
  <w:style w:type="character" w:customStyle="1" w:styleId="VoettekstChar">
    <w:name w:val="Voettekst Char"/>
    <w:link w:val="Voettekst"/>
    <w:uiPriority w:val="99"/>
    <w:rsid w:val="00A6117A"/>
    <w:rPr>
      <w:rFonts w:ascii="Arial" w:eastAsia="Times New Roman" w:hAnsi="Arial"/>
      <w:noProof/>
      <w:sz w:val="16"/>
      <w:lang w:eastAsia="en-US"/>
    </w:rPr>
  </w:style>
  <w:style w:type="character" w:customStyle="1" w:styleId="normaltextrun">
    <w:name w:val="normaltextrun"/>
    <w:basedOn w:val="Standaardalinea-lettertype"/>
    <w:rsid w:val="005F5EB3"/>
  </w:style>
  <w:style w:type="character" w:customStyle="1" w:styleId="eop">
    <w:name w:val="eop"/>
    <w:basedOn w:val="Standaardalinea-lettertype"/>
    <w:rsid w:val="005F5EB3"/>
  </w:style>
  <w:style w:type="character" w:customStyle="1" w:styleId="LijstalineaChar">
    <w:name w:val="Lijstalinea Char"/>
    <w:basedOn w:val="Standaardalinea-lettertype"/>
    <w:link w:val="Lijstalinea"/>
    <w:uiPriority w:val="34"/>
    <w:locked/>
    <w:rsid w:val="00D0679E"/>
    <w:rPr>
      <w:rFonts w:eastAsia="Times New Roman"/>
      <w:sz w:val="22"/>
      <w:lang w:eastAsia="en-US"/>
    </w:rPr>
  </w:style>
  <w:style w:type="character" w:customStyle="1" w:styleId="BallontekstChar">
    <w:name w:val="Ballontekst Char"/>
    <w:basedOn w:val="Standaardalinea-lettertype"/>
    <w:link w:val="Ballontekst"/>
    <w:uiPriority w:val="99"/>
    <w:semiHidden/>
    <w:rsid w:val="001F222D"/>
    <w:rPr>
      <w:rFonts w:ascii="Tahoma" w:eastAsia="Times New Roman" w:hAnsi="Tahoma" w:cs="Tahoma"/>
      <w:sz w:val="16"/>
      <w:szCs w:val="16"/>
      <w:lang w:eastAsia="en-US"/>
    </w:rPr>
  </w:style>
  <w:style w:type="paragraph" w:customStyle="1" w:styleId="cmcTblEntryC">
    <w:name w:val="cmc_TblEntry/C"/>
    <w:basedOn w:val="Standaard"/>
    <w:link w:val="cmcTblEntryCChar"/>
    <w:uiPriority w:val="99"/>
    <w:rsid w:val="001F222D"/>
    <w:pPr>
      <w:keepNext/>
      <w:keepLines/>
      <w:tabs>
        <w:tab w:val="clear" w:pos="567"/>
      </w:tabs>
      <w:spacing w:before="14" w:after="144" w:line="300" w:lineRule="exact"/>
      <w:jc w:val="center"/>
    </w:pPr>
    <w:rPr>
      <w:sz w:val="20"/>
    </w:rPr>
  </w:style>
  <w:style w:type="character" w:customStyle="1" w:styleId="cmcTblEntryCChar">
    <w:name w:val="cmc_TblEntry/C Char"/>
    <w:basedOn w:val="Standaardalinea-lettertype"/>
    <w:link w:val="cmcTblEntryC"/>
    <w:uiPriority w:val="99"/>
    <w:rsid w:val="001F222D"/>
    <w:rPr>
      <w:rFonts w:eastAsia="Times New Roman"/>
      <w:lang w:val="fr-FR" w:eastAsia="en-US"/>
    </w:rPr>
  </w:style>
  <w:style w:type="paragraph" w:customStyle="1" w:styleId="Paragraph">
    <w:name w:val="Paragraph"/>
    <w:link w:val="ParagraphChar"/>
    <w:qFormat/>
    <w:rsid w:val="00970AC8"/>
    <w:pPr>
      <w:spacing w:before="240" w:after="240" w:line="300" w:lineRule="exact"/>
    </w:pPr>
    <w:rPr>
      <w:rFonts w:eastAsiaTheme="minorEastAsia" w:cstheme="minorBidi"/>
      <w:sz w:val="24"/>
      <w:szCs w:val="22"/>
      <w:lang w:eastAsia="en-US"/>
    </w:rPr>
  </w:style>
  <w:style w:type="character" w:customStyle="1" w:styleId="ParagraphChar">
    <w:name w:val="Paragraph Char"/>
    <w:basedOn w:val="Standaardalinea-lettertype"/>
    <w:link w:val="Paragraph"/>
    <w:rsid w:val="00970AC8"/>
    <w:rPr>
      <w:rFonts w:eastAsiaTheme="minorEastAsia" w:cstheme="minorBidi"/>
      <w:sz w:val="24"/>
      <w:szCs w:val="22"/>
      <w:lang w:val="fr-FR" w:eastAsia="en-US"/>
    </w:rPr>
  </w:style>
  <w:style w:type="paragraph" w:customStyle="1" w:styleId="TitleA">
    <w:name w:val="Title A"/>
    <w:basedOn w:val="Standaard"/>
    <w:qFormat/>
    <w:rsid w:val="005F5679"/>
    <w:pPr>
      <w:spacing w:line="240" w:lineRule="auto"/>
      <w:jc w:val="center"/>
      <w:outlineLvl w:val="0"/>
    </w:pPr>
    <w:rPr>
      <w:b/>
    </w:rPr>
  </w:style>
  <w:style w:type="paragraph" w:customStyle="1" w:styleId="TitleB">
    <w:name w:val="Title B"/>
    <w:basedOn w:val="Standaard"/>
    <w:qFormat/>
    <w:rsid w:val="00333EB2"/>
    <w:pPr>
      <w:spacing w:line="240" w:lineRule="auto"/>
      <w:ind w:left="567" w:hanging="567"/>
    </w:pPr>
    <w:rPr>
      <w:b/>
      <w:noProof/>
      <w:szCs w:val="22"/>
    </w:rPr>
  </w:style>
  <w:style w:type="paragraph" w:styleId="Titel">
    <w:name w:val="Title"/>
    <w:basedOn w:val="Standaard"/>
    <w:next w:val="Standaard"/>
    <w:link w:val="TitelChar"/>
    <w:qFormat/>
    <w:rsid w:val="003A47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3A47CA"/>
    <w:rPr>
      <w:rFonts w:asciiTheme="majorHAnsi" w:eastAsiaTheme="majorEastAsia" w:hAnsiTheme="majorHAnsi" w:cstheme="majorBidi"/>
      <w:spacing w:val="-10"/>
      <w:kern w:val="28"/>
      <w:sz w:val="56"/>
      <w:szCs w:val="56"/>
      <w:lang w:eastAsia="en-US"/>
    </w:rPr>
  </w:style>
  <w:style w:type="character" w:customStyle="1" w:styleId="DoNotTranslateExternal1">
    <w:name w:val="DoNotTranslateExternal1"/>
    <w:qFormat/>
    <w:rsid w:val="00A75AC6"/>
    <w:rPr>
      <w:b/>
      <w:bCs w:val="0"/>
      <w:noProof/>
      <w:szCs w:val="22"/>
    </w:rPr>
  </w:style>
  <w:style w:type="paragraph" w:customStyle="1" w:styleId="No-numheading3Agency">
    <w:name w:val="No-num heading 3 (Agency)"/>
    <w:basedOn w:val="Standaard"/>
    <w:next w:val="BodytextAgency"/>
    <w:link w:val="No-numheading3AgencyChar"/>
    <w:rsid w:val="00EA307F"/>
    <w:pPr>
      <w:keepNext/>
      <w:tabs>
        <w:tab w:val="clear" w:pos="567"/>
      </w:tabs>
      <w:spacing w:before="280" w:after="220" w:line="240" w:lineRule="auto"/>
      <w:outlineLvl w:val="2"/>
    </w:pPr>
    <w:rPr>
      <w:rFonts w:ascii="Verdana" w:eastAsia="SimSun" w:hAnsi="Verdana" w:cs="Arial"/>
      <w:b/>
      <w:bCs/>
      <w:kern w:val="32"/>
      <w:szCs w:val="22"/>
      <w:lang w:val="en-GB" w:eastAsia="en-GB"/>
    </w:rPr>
  </w:style>
  <w:style w:type="character" w:customStyle="1" w:styleId="No-numheading3AgencyChar">
    <w:name w:val="No-num heading 3 (Agency) Char"/>
    <w:link w:val="No-numheading3Agency"/>
    <w:locked/>
    <w:rsid w:val="00EA307F"/>
    <w:rPr>
      <w:rFonts w:ascii="Verdana" w:hAnsi="Verdana" w:cs="Arial"/>
      <w:b/>
      <w:bCs/>
      <w:kern w:val="32"/>
      <w:sz w:val="22"/>
      <w:szCs w:val="22"/>
      <w:lang w:val="en-GB"/>
    </w:rPr>
  </w:style>
  <w:style w:type="character" w:customStyle="1" w:styleId="UnresolvedMention">
    <w:name w:val="Unresolved Mention"/>
    <w:basedOn w:val="Standaardalinea-lettertype"/>
    <w:uiPriority w:val="99"/>
    <w:semiHidden/>
    <w:unhideWhenUsed/>
    <w:rsid w:val="00A208D7"/>
    <w:rPr>
      <w:color w:val="605E5C"/>
      <w:shd w:val="clear" w:color="auto" w:fill="E1DFDD"/>
    </w:rPr>
  </w:style>
  <w:style w:type="paragraph" w:customStyle="1" w:styleId="Dnex1">
    <w:name w:val="Dnex1"/>
    <w:basedOn w:val="Standaard"/>
    <w:qFormat/>
    <w:rsid w:val="00770FB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paragraph" w:styleId="Plattetekstinspringen">
    <w:name w:val="Body Text Indent"/>
    <w:basedOn w:val="Standaard"/>
    <w:link w:val="PlattetekstinspringenChar"/>
    <w:rsid w:val="00D944F9"/>
    <w:pPr>
      <w:spacing w:after="120"/>
      <w:ind w:left="360"/>
    </w:pPr>
  </w:style>
  <w:style w:type="character" w:customStyle="1" w:styleId="PlattetekstinspringenChar">
    <w:name w:val="Platte tekst inspringen Char"/>
    <w:basedOn w:val="Standaardalinea-lettertype"/>
    <w:link w:val="Plattetekstinspringen"/>
    <w:rsid w:val="00D944F9"/>
    <w:rPr>
      <w:rFonts w:eastAsia="Times New Roman"/>
      <w:sz w:val="22"/>
      <w:lang w:eastAsia="en-US"/>
    </w:rPr>
  </w:style>
  <w:style w:type="paragraph" w:styleId="Platteteksteersteinspringing2">
    <w:name w:val="Body Text First Indent 2"/>
    <w:basedOn w:val="Plattetekstinspringen"/>
    <w:link w:val="Platteteksteersteinspringing2Char"/>
    <w:rsid w:val="00D944F9"/>
    <w:pPr>
      <w:spacing w:after="0"/>
      <w:ind w:firstLine="360"/>
    </w:pPr>
  </w:style>
  <w:style w:type="character" w:customStyle="1" w:styleId="Platteteksteersteinspringing2Char">
    <w:name w:val="Platte tekst eerste inspringing 2 Char"/>
    <w:basedOn w:val="PlattetekstinspringenChar"/>
    <w:link w:val="Platteteksteersteinspringing2"/>
    <w:rsid w:val="00D944F9"/>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367">
      <w:bodyDiv w:val="1"/>
      <w:marLeft w:val="0"/>
      <w:marRight w:val="0"/>
      <w:marTop w:val="0"/>
      <w:marBottom w:val="0"/>
      <w:divBdr>
        <w:top w:val="none" w:sz="0" w:space="0" w:color="auto"/>
        <w:left w:val="none" w:sz="0" w:space="0" w:color="auto"/>
        <w:bottom w:val="none" w:sz="0" w:space="0" w:color="auto"/>
        <w:right w:val="none" w:sz="0" w:space="0" w:color="auto"/>
      </w:divBdr>
    </w:div>
    <w:div w:id="34433634">
      <w:bodyDiv w:val="1"/>
      <w:marLeft w:val="0"/>
      <w:marRight w:val="0"/>
      <w:marTop w:val="0"/>
      <w:marBottom w:val="0"/>
      <w:divBdr>
        <w:top w:val="none" w:sz="0" w:space="0" w:color="auto"/>
        <w:left w:val="none" w:sz="0" w:space="0" w:color="auto"/>
        <w:bottom w:val="none" w:sz="0" w:space="0" w:color="auto"/>
        <w:right w:val="none" w:sz="0" w:space="0" w:color="auto"/>
      </w:divBdr>
    </w:div>
    <w:div w:id="159934903">
      <w:bodyDiv w:val="1"/>
      <w:marLeft w:val="0"/>
      <w:marRight w:val="0"/>
      <w:marTop w:val="0"/>
      <w:marBottom w:val="0"/>
      <w:divBdr>
        <w:top w:val="none" w:sz="0" w:space="0" w:color="auto"/>
        <w:left w:val="none" w:sz="0" w:space="0" w:color="auto"/>
        <w:bottom w:val="none" w:sz="0" w:space="0" w:color="auto"/>
        <w:right w:val="none" w:sz="0" w:space="0" w:color="auto"/>
      </w:divBdr>
    </w:div>
    <w:div w:id="192038478">
      <w:bodyDiv w:val="1"/>
      <w:marLeft w:val="0"/>
      <w:marRight w:val="0"/>
      <w:marTop w:val="0"/>
      <w:marBottom w:val="0"/>
      <w:divBdr>
        <w:top w:val="none" w:sz="0" w:space="0" w:color="auto"/>
        <w:left w:val="none" w:sz="0" w:space="0" w:color="auto"/>
        <w:bottom w:val="none" w:sz="0" w:space="0" w:color="auto"/>
        <w:right w:val="none" w:sz="0" w:space="0" w:color="auto"/>
      </w:divBdr>
    </w:div>
    <w:div w:id="300892125">
      <w:bodyDiv w:val="1"/>
      <w:marLeft w:val="0"/>
      <w:marRight w:val="0"/>
      <w:marTop w:val="0"/>
      <w:marBottom w:val="0"/>
      <w:divBdr>
        <w:top w:val="none" w:sz="0" w:space="0" w:color="auto"/>
        <w:left w:val="none" w:sz="0" w:space="0" w:color="auto"/>
        <w:bottom w:val="none" w:sz="0" w:space="0" w:color="auto"/>
        <w:right w:val="none" w:sz="0" w:space="0" w:color="auto"/>
      </w:divBdr>
    </w:div>
    <w:div w:id="498890945">
      <w:bodyDiv w:val="1"/>
      <w:marLeft w:val="0"/>
      <w:marRight w:val="0"/>
      <w:marTop w:val="0"/>
      <w:marBottom w:val="0"/>
      <w:divBdr>
        <w:top w:val="none" w:sz="0" w:space="0" w:color="auto"/>
        <w:left w:val="none" w:sz="0" w:space="0" w:color="auto"/>
        <w:bottom w:val="none" w:sz="0" w:space="0" w:color="auto"/>
        <w:right w:val="none" w:sz="0" w:space="0" w:color="auto"/>
      </w:divBdr>
    </w:div>
    <w:div w:id="611322130">
      <w:bodyDiv w:val="1"/>
      <w:marLeft w:val="0"/>
      <w:marRight w:val="0"/>
      <w:marTop w:val="0"/>
      <w:marBottom w:val="0"/>
      <w:divBdr>
        <w:top w:val="none" w:sz="0" w:space="0" w:color="auto"/>
        <w:left w:val="none" w:sz="0" w:space="0" w:color="auto"/>
        <w:bottom w:val="none" w:sz="0" w:space="0" w:color="auto"/>
        <w:right w:val="none" w:sz="0" w:space="0" w:color="auto"/>
      </w:divBdr>
    </w:div>
    <w:div w:id="613024425">
      <w:bodyDiv w:val="1"/>
      <w:marLeft w:val="0"/>
      <w:marRight w:val="0"/>
      <w:marTop w:val="0"/>
      <w:marBottom w:val="0"/>
      <w:divBdr>
        <w:top w:val="none" w:sz="0" w:space="0" w:color="auto"/>
        <w:left w:val="none" w:sz="0" w:space="0" w:color="auto"/>
        <w:bottom w:val="none" w:sz="0" w:space="0" w:color="auto"/>
        <w:right w:val="none" w:sz="0" w:space="0" w:color="auto"/>
      </w:divBdr>
    </w:div>
    <w:div w:id="723525818">
      <w:bodyDiv w:val="1"/>
      <w:marLeft w:val="0"/>
      <w:marRight w:val="0"/>
      <w:marTop w:val="0"/>
      <w:marBottom w:val="0"/>
      <w:divBdr>
        <w:top w:val="none" w:sz="0" w:space="0" w:color="auto"/>
        <w:left w:val="none" w:sz="0" w:space="0" w:color="auto"/>
        <w:bottom w:val="none" w:sz="0" w:space="0" w:color="auto"/>
        <w:right w:val="none" w:sz="0" w:space="0" w:color="auto"/>
      </w:divBdr>
    </w:div>
    <w:div w:id="737243987">
      <w:bodyDiv w:val="1"/>
      <w:marLeft w:val="0"/>
      <w:marRight w:val="0"/>
      <w:marTop w:val="0"/>
      <w:marBottom w:val="0"/>
      <w:divBdr>
        <w:top w:val="none" w:sz="0" w:space="0" w:color="auto"/>
        <w:left w:val="none" w:sz="0" w:space="0" w:color="auto"/>
        <w:bottom w:val="none" w:sz="0" w:space="0" w:color="auto"/>
        <w:right w:val="none" w:sz="0" w:space="0" w:color="auto"/>
      </w:divBdr>
    </w:div>
    <w:div w:id="748890965">
      <w:bodyDiv w:val="1"/>
      <w:marLeft w:val="0"/>
      <w:marRight w:val="0"/>
      <w:marTop w:val="0"/>
      <w:marBottom w:val="0"/>
      <w:divBdr>
        <w:top w:val="none" w:sz="0" w:space="0" w:color="auto"/>
        <w:left w:val="none" w:sz="0" w:space="0" w:color="auto"/>
        <w:bottom w:val="none" w:sz="0" w:space="0" w:color="auto"/>
        <w:right w:val="none" w:sz="0" w:space="0" w:color="auto"/>
      </w:divBdr>
    </w:div>
    <w:div w:id="773551071">
      <w:bodyDiv w:val="1"/>
      <w:marLeft w:val="0"/>
      <w:marRight w:val="0"/>
      <w:marTop w:val="0"/>
      <w:marBottom w:val="0"/>
      <w:divBdr>
        <w:top w:val="none" w:sz="0" w:space="0" w:color="auto"/>
        <w:left w:val="none" w:sz="0" w:space="0" w:color="auto"/>
        <w:bottom w:val="none" w:sz="0" w:space="0" w:color="auto"/>
        <w:right w:val="none" w:sz="0" w:space="0" w:color="auto"/>
      </w:divBdr>
    </w:div>
    <w:div w:id="1042755536">
      <w:bodyDiv w:val="1"/>
      <w:marLeft w:val="0"/>
      <w:marRight w:val="0"/>
      <w:marTop w:val="0"/>
      <w:marBottom w:val="0"/>
      <w:divBdr>
        <w:top w:val="none" w:sz="0" w:space="0" w:color="auto"/>
        <w:left w:val="none" w:sz="0" w:space="0" w:color="auto"/>
        <w:bottom w:val="none" w:sz="0" w:space="0" w:color="auto"/>
        <w:right w:val="none" w:sz="0" w:space="0" w:color="auto"/>
      </w:divBdr>
    </w:div>
    <w:div w:id="1097676479">
      <w:bodyDiv w:val="1"/>
      <w:marLeft w:val="0"/>
      <w:marRight w:val="0"/>
      <w:marTop w:val="0"/>
      <w:marBottom w:val="0"/>
      <w:divBdr>
        <w:top w:val="none" w:sz="0" w:space="0" w:color="auto"/>
        <w:left w:val="none" w:sz="0" w:space="0" w:color="auto"/>
        <w:bottom w:val="none" w:sz="0" w:space="0" w:color="auto"/>
        <w:right w:val="none" w:sz="0" w:space="0" w:color="auto"/>
      </w:divBdr>
    </w:div>
    <w:div w:id="1202789871">
      <w:bodyDiv w:val="1"/>
      <w:marLeft w:val="0"/>
      <w:marRight w:val="0"/>
      <w:marTop w:val="0"/>
      <w:marBottom w:val="0"/>
      <w:divBdr>
        <w:top w:val="none" w:sz="0" w:space="0" w:color="auto"/>
        <w:left w:val="none" w:sz="0" w:space="0" w:color="auto"/>
        <w:bottom w:val="none" w:sz="0" w:space="0" w:color="auto"/>
        <w:right w:val="none" w:sz="0" w:space="0" w:color="auto"/>
      </w:divBdr>
    </w:div>
    <w:div w:id="1208567552">
      <w:bodyDiv w:val="1"/>
      <w:marLeft w:val="0"/>
      <w:marRight w:val="0"/>
      <w:marTop w:val="0"/>
      <w:marBottom w:val="0"/>
      <w:divBdr>
        <w:top w:val="none" w:sz="0" w:space="0" w:color="auto"/>
        <w:left w:val="none" w:sz="0" w:space="0" w:color="auto"/>
        <w:bottom w:val="none" w:sz="0" w:space="0" w:color="auto"/>
        <w:right w:val="none" w:sz="0" w:space="0" w:color="auto"/>
      </w:divBdr>
    </w:div>
    <w:div w:id="1218012728">
      <w:bodyDiv w:val="1"/>
      <w:marLeft w:val="0"/>
      <w:marRight w:val="0"/>
      <w:marTop w:val="0"/>
      <w:marBottom w:val="0"/>
      <w:divBdr>
        <w:top w:val="none" w:sz="0" w:space="0" w:color="auto"/>
        <w:left w:val="none" w:sz="0" w:space="0" w:color="auto"/>
        <w:bottom w:val="none" w:sz="0" w:space="0" w:color="auto"/>
        <w:right w:val="none" w:sz="0" w:space="0" w:color="auto"/>
      </w:divBdr>
    </w:div>
    <w:div w:id="1295990542">
      <w:bodyDiv w:val="1"/>
      <w:marLeft w:val="0"/>
      <w:marRight w:val="0"/>
      <w:marTop w:val="0"/>
      <w:marBottom w:val="0"/>
      <w:divBdr>
        <w:top w:val="none" w:sz="0" w:space="0" w:color="auto"/>
        <w:left w:val="none" w:sz="0" w:space="0" w:color="auto"/>
        <w:bottom w:val="none" w:sz="0" w:space="0" w:color="auto"/>
        <w:right w:val="none" w:sz="0" w:space="0" w:color="auto"/>
      </w:divBdr>
    </w:div>
    <w:div w:id="1304508727">
      <w:bodyDiv w:val="1"/>
      <w:marLeft w:val="0"/>
      <w:marRight w:val="0"/>
      <w:marTop w:val="0"/>
      <w:marBottom w:val="0"/>
      <w:divBdr>
        <w:top w:val="none" w:sz="0" w:space="0" w:color="auto"/>
        <w:left w:val="none" w:sz="0" w:space="0" w:color="auto"/>
        <w:bottom w:val="none" w:sz="0" w:space="0" w:color="auto"/>
        <w:right w:val="none" w:sz="0" w:space="0" w:color="auto"/>
      </w:divBdr>
    </w:div>
    <w:div w:id="1401706643">
      <w:bodyDiv w:val="1"/>
      <w:marLeft w:val="0"/>
      <w:marRight w:val="0"/>
      <w:marTop w:val="0"/>
      <w:marBottom w:val="0"/>
      <w:divBdr>
        <w:top w:val="none" w:sz="0" w:space="0" w:color="auto"/>
        <w:left w:val="none" w:sz="0" w:space="0" w:color="auto"/>
        <w:bottom w:val="none" w:sz="0" w:space="0" w:color="auto"/>
        <w:right w:val="none" w:sz="0" w:space="0" w:color="auto"/>
      </w:divBdr>
    </w:div>
    <w:div w:id="1418939275">
      <w:bodyDiv w:val="1"/>
      <w:marLeft w:val="0"/>
      <w:marRight w:val="0"/>
      <w:marTop w:val="0"/>
      <w:marBottom w:val="0"/>
      <w:divBdr>
        <w:top w:val="none" w:sz="0" w:space="0" w:color="auto"/>
        <w:left w:val="none" w:sz="0" w:space="0" w:color="auto"/>
        <w:bottom w:val="none" w:sz="0" w:space="0" w:color="auto"/>
        <w:right w:val="none" w:sz="0" w:space="0" w:color="auto"/>
      </w:divBdr>
    </w:div>
    <w:div w:id="1481968696">
      <w:bodyDiv w:val="1"/>
      <w:marLeft w:val="0"/>
      <w:marRight w:val="0"/>
      <w:marTop w:val="0"/>
      <w:marBottom w:val="0"/>
      <w:divBdr>
        <w:top w:val="none" w:sz="0" w:space="0" w:color="auto"/>
        <w:left w:val="none" w:sz="0" w:space="0" w:color="auto"/>
        <w:bottom w:val="none" w:sz="0" w:space="0" w:color="auto"/>
        <w:right w:val="none" w:sz="0" w:space="0" w:color="auto"/>
      </w:divBdr>
    </w:div>
    <w:div w:id="1506432879">
      <w:bodyDiv w:val="1"/>
      <w:marLeft w:val="0"/>
      <w:marRight w:val="0"/>
      <w:marTop w:val="0"/>
      <w:marBottom w:val="0"/>
      <w:divBdr>
        <w:top w:val="none" w:sz="0" w:space="0" w:color="auto"/>
        <w:left w:val="none" w:sz="0" w:space="0" w:color="auto"/>
        <w:bottom w:val="none" w:sz="0" w:space="0" w:color="auto"/>
        <w:right w:val="none" w:sz="0" w:space="0" w:color="auto"/>
      </w:divBdr>
    </w:div>
    <w:div w:id="1511065095">
      <w:bodyDiv w:val="1"/>
      <w:marLeft w:val="0"/>
      <w:marRight w:val="0"/>
      <w:marTop w:val="0"/>
      <w:marBottom w:val="0"/>
      <w:divBdr>
        <w:top w:val="none" w:sz="0" w:space="0" w:color="auto"/>
        <w:left w:val="none" w:sz="0" w:space="0" w:color="auto"/>
        <w:bottom w:val="none" w:sz="0" w:space="0" w:color="auto"/>
        <w:right w:val="none" w:sz="0" w:space="0" w:color="auto"/>
      </w:divBdr>
    </w:div>
    <w:div w:id="1521511147">
      <w:bodyDiv w:val="1"/>
      <w:marLeft w:val="0"/>
      <w:marRight w:val="0"/>
      <w:marTop w:val="0"/>
      <w:marBottom w:val="0"/>
      <w:divBdr>
        <w:top w:val="none" w:sz="0" w:space="0" w:color="auto"/>
        <w:left w:val="none" w:sz="0" w:space="0" w:color="auto"/>
        <w:bottom w:val="none" w:sz="0" w:space="0" w:color="auto"/>
        <w:right w:val="none" w:sz="0" w:space="0" w:color="auto"/>
      </w:divBdr>
    </w:div>
    <w:div w:id="1613048043">
      <w:bodyDiv w:val="1"/>
      <w:marLeft w:val="0"/>
      <w:marRight w:val="0"/>
      <w:marTop w:val="0"/>
      <w:marBottom w:val="0"/>
      <w:divBdr>
        <w:top w:val="none" w:sz="0" w:space="0" w:color="auto"/>
        <w:left w:val="none" w:sz="0" w:space="0" w:color="auto"/>
        <w:bottom w:val="none" w:sz="0" w:space="0" w:color="auto"/>
        <w:right w:val="none" w:sz="0" w:space="0" w:color="auto"/>
      </w:divBdr>
    </w:div>
    <w:div w:id="1653942905">
      <w:bodyDiv w:val="1"/>
      <w:marLeft w:val="0"/>
      <w:marRight w:val="0"/>
      <w:marTop w:val="0"/>
      <w:marBottom w:val="0"/>
      <w:divBdr>
        <w:top w:val="none" w:sz="0" w:space="0" w:color="auto"/>
        <w:left w:val="none" w:sz="0" w:space="0" w:color="auto"/>
        <w:bottom w:val="none" w:sz="0" w:space="0" w:color="auto"/>
        <w:right w:val="none" w:sz="0" w:space="0" w:color="auto"/>
      </w:divBdr>
    </w:div>
    <w:div w:id="1693215548">
      <w:bodyDiv w:val="1"/>
      <w:marLeft w:val="0"/>
      <w:marRight w:val="0"/>
      <w:marTop w:val="0"/>
      <w:marBottom w:val="0"/>
      <w:divBdr>
        <w:top w:val="none" w:sz="0" w:space="0" w:color="auto"/>
        <w:left w:val="none" w:sz="0" w:space="0" w:color="auto"/>
        <w:bottom w:val="none" w:sz="0" w:space="0" w:color="auto"/>
        <w:right w:val="none" w:sz="0" w:space="0" w:color="auto"/>
      </w:divBdr>
    </w:div>
    <w:div w:id="1735548610">
      <w:bodyDiv w:val="1"/>
      <w:marLeft w:val="0"/>
      <w:marRight w:val="0"/>
      <w:marTop w:val="0"/>
      <w:marBottom w:val="0"/>
      <w:divBdr>
        <w:top w:val="none" w:sz="0" w:space="0" w:color="auto"/>
        <w:left w:val="none" w:sz="0" w:space="0" w:color="auto"/>
        <w:bottom w:val="none" w:sz="0" w:space="0" w:color="auto"/>
        <w:right w:val="none" w:sz="0" w:space="0" w:color="auto"/>
      </w:divBdr>
    </w:div>
    <w:div w:id="1772512177">
      <w:bodyDiv w:val="1"/>
      <w:marLeft w:val="0"/>
      <w:marRight w:val="0"/>
      <w:marTop w:val="0"/>
      <w:marBottom w:val="0"/>
      <w:divBdr>
        <w:top w:val="none" w:sz="0" w:space="0" w:color="auto"/>
        <w:left w:val="none" w:sz="0" w:space="0" w:color="auto"/>
        <w:bottom w:val="none" w:sz="0" w:space="0" w:color="auto"/>
        <w:right w:val="none" w:sz="0" w:space="0" w:color="auto"/>
      </w:divBdr>
    </w:div>
    <w:div w:id="1818372629">
      <w:bodyDiv w:val="1"/>
      <w:marLeft w:val="0"/>
      <w:marRight w:val="0"/>
      <w:marTop w:val="0"/>
      <w:marBottom w:val="0"/>
      <w:divBdr>
        <w:top w:val="none" w:sz="0" w:space="0" w:color="auto"/>
        <w:left w:val="none" w:sz="0" w:space="0" w:color="auto"/>
        <w:bottom w:val="none" w:sz="0" w:space="0" w:color="auto"/>
        <w:right w:val="none" w:sz="0" w:space="0" w:color="auto"/>
      </w:divBdr>
    </w:div>
    <w:div w:id="1869180825">
      <w:bodyDiv w:val="1"/>
      <w:marLeft w:val="0"/>
      <w:marRight w:val="0"/>
      <w:marTop w:val="0"/>
      <w:marBottom w:val="0"/>
      <w:divBdr>
        <w:top w:val="none" w:sz="0" w:space="0" w:color="auto"/>
        <w:left w:val="none" w:sz="0" w:space="0" w:color="auto"/>
        <w:bottom w:val="none" w:sz="0" w:space="0" w:color="auto"/>
        <w:right w:val="none" w:sz="0" w:space="0" w:color="auto"/>
      </w:divBdr>
    </w:div>
    <w:div w:id="2012249252">
      <w:bodyDiv w:val="1"/>
      <w:marLeft w:val="0"/>
      <w:marRight w:val="0"/>
      <w:marTop w:val="0"/>
      <w:marBottom w:val="0"/>
      <w:divBdr>
        <w:top w:val="none" w:sz="0" w:space="0" w:color="auto"/>
        <w:left w:val="none" w:sz="0" w:space="0" w:color="auto"/>
        <w:bottom w:val="none" w:sz="0" w:space="0" w:color="auto"/>
        <w:right w:val="none" w:sz="0" w:space="0" w:color="auto"/>
      </w:divBdr>
    </w:div>
    <w:div w:id="2060201490">
      <w:bodyDiv w:val="1"/>
      <w:marLeft w:val="0"/>
      <w:marRight w:val="0"/>
      <w:marTop w:val="0"/>
      <w:marBottom w:val="0"/>
      <w:divBdr>
        <w:top w:val="none" w:sz="0" w:space="0" w:color="auto"/>
        <w:left w:val="none" w:sz="0" w:space="0" w:color="auto"/>
        <w:bottom w:val="none" w:sz="0" w:space="0" w:color="auto"/>
        <w:right w:val="none" w:sz="0" w:space="0" w:color="auto"/>
      </w:divBdr>
    </w:div>
    <w:div w:id="2072270457">
      <w:bodyDiv w:val="1"/>
      <w:marLeft w:val="0"/>
      <w:marRight w:val="0"/>
      <w:marTop w:val="0"/>
      <w:marBottom w:val="0"/>
      <w:divBdr>
        <w:top w:val="none" w:sz="0" w:space="0" w:color="auto"/>
        <w:left w:val="none" w:sz="0" w:space="0" w:color="auto"/>
        <w:bottom w:val="none" w:sz="0" w:space="0" w:color="auto"/>
        <w:right w:val="none" w:sz="0" w:space="0" w:color="auto"/>
      </w:divBdr>
    </w:div>
    <w:div w:id="2072845715">
      <w:bodyDiv w:val="1"/>
      <w:marLeft w:val="0"/>
      <w:marRight w:val="0"/>
      <w:marTop w:val="0"/>
      <w:marBottom w:val="0"/>
      <w:divBdr>
        <w:top w:val="none" w:sz="0" w:space="0" w:color="auto"/>
        <w:left w:val="none" w:sz="0" w:space="0" w:color="auto"/>
        <w:bottom w:val="none" w:sz="0" w:space="0" w:color="auto"/>
        <w:right w:val="none" w:sz="0" w:space="0" w:color="auto"/>
      </w:divBdr>
    </w:div>
    <w:div w:id="2088962893">
      <w:bodyDiv w:val="1"/>
      <w:marLeft w:val="0"/>
      <w:marRight w:val="0"/>
      <w:marTop w:val="0"/>
      <w:marBottom w:val="0"/>
      <w:divBdr>
        <w:top w:val="none" w:sz="0" w:space="0" w:color="auto"/>
        <w:left w:val="none" w:sz="0" w:space="0" w:color="auto"/>
        <w:bottom w:val="none" w:sz="0" w:space="0" w:color="auto"/>
        <w:right w:val="none" w:sz="0" w:space="0" w:color="auto"/>
      </w:divBdr>
    </w:div>
    <w:div w:id="2127919225">
      <w:bodyDiv w:val="1"/>
      <w:marLeft w:val="0"/>
      <w:marRight w:val="0"/>
      <w:marTop w:val="0"/>
      <w:marBottom w:val="0"/>
      <w:divBdr>
        <w:top w:val="none" w:sz="0" w:space="0" w:color="auto"/>
        <w:left w:val="none" w:sz="0" w:space="0" w:color="auto"/>
        <w:bottom w:val="none" w:sz="0" w:space="0" w:color="auto"/>
        <w:right w:val="none" w:sz="0" w:space="0" w:color="auto"/>
      </w:divBdr>
    </w:div>
    <w:div w:id="214318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A90DE1B9FD043A854E63DD3FD858B" ma:contentTypeVersion="13" ma:contentTypeDescription="Create a new document." ma:contentTypeScope="" ma:versionID="8472822f78c3a09a45139cb39a1cd576">
  <xsd:schema xmlns:xsd="http://www.w3.org/2001/XMLSchema" xmlns:xs="http://www.w3.org/2001/XMLSchema" xmlns:p="http://schemas.microsoft.com/office/2006/metadata/properties" xmlns:ns2="5e7a4d30-5101-493f-ab33-2ee9bb6b4fff" xmlns:ns3="c56a36b4-67f0-4405-a4e3-75358dfcc6ae" targetNamespace="http://schemas.microsoft.com/office/2006/metadata/properties" ma:root="true" ma:fieldsID="faaa8b71068c6541d0b88201d6c6e387" ns2:_="" ns3:_="">
    <xsd:import namespace="5e7a4d30-5101-493f-ab33-2ee9bb6b4fff"/>
    <xsd:import namespace="c56a36b4-67f0-4405-a4e3-75358dfcc6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a4d30-5101-493f-ab33-2ee9bb6b4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db9bf-65a7-4dcd-b9fe-2cabe70ed6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a36b4-67f0-4405-a4e3-75358dfcc6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154092-f7d2-470c-a2a8-8205aa6293aa}" ma:internalName="TaxCatchAll" ma:showField="CatchAllData" ma:web="c56a36b4-67f0-4405-a4e3-75358dfcc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a4d30-5101-493f-ab33-2ee9bb6b4fff">
      <Terms xmlns="http://schemas.microsoft.com/office/infopath/2007/PartnerControls"/>
    </lcf76f155ced4ddcb4097134ff3c332f>
    <TaxCatchAll xmlns="c56a36b4-67f0-4405-a4e3-75358dfcc6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AAE30-F629-4089-8F08-1E2E2BB1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a4d30-5101-493f-ab33-2ee9bb6b4fff"/>
    <ds:schemaRef ds:uri="c56a36b4-67f0-4405-a4e3-75358dfc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BA79F-F5B3-4373-90F9-F7848E2C5728}">
  <ds:schemaRefs>
    <ds:schemaRef ds:uri="http://schemas.microsoft.com/sharepoint/v3/contenttype/forms"/>
  </ds:schemaRefs>
</ds:datastoreItem>
</file>

<file path=customXml/itemProps3.xml><?xml version="1.0" encoding="utf-8"?>
<ds:datastoreItem xmlns:ds="http://schemas.openxmlformats.org/officeDocument/2006/customXml" ds:itemID="{E73B319E-CFF0-4FFA-B9FD-043FCC06861D}">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c56a36b4-67f0-4405-a4e3-75358dfcc6ae"/>
    <ds:schemaRef ds:uri="5e7a4d30-5101-493f-ab33-2ee9bb6b4fff"/>
  </ds:schemaRefs>
</ds:datastoreItem>
</file>

<file path=customXml/itemProps4.xml><?xml version="1.0" encoding="utf-8"?>
<ds:datastoreItem xmlns:ds="http://schemas.openxmlformats.org/officeDocument/2006/customXml" ds:itemID="{9CF609A4-A8A0-4520-A53F-48A7C169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7203</Words>
  <Characters>41059</Characters>
  <Application>Microsoft Office Word</Application>
  <DocSecurity>0</DocSecurity>
  <Lines>342</Lines>
  <Paragraphs>96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Jaypirca: EPAR – Product information – tracked changes</vt:lpstr>
      <vt:lpstr>Jaypirca: EPAR – Product information – tracked changes</vt:lpstr>
    </vt:vector>
  </TitlesOfParts>
  <Company/>
  <LinksUpToDate>false</LinksUpToDate>
  <CharactersWithSpaces>48166</CharactersWithSpaces>
  <SharedDoc>false</SharedDoc>
  <HLinks>
    <vt:vector size="24" baseType="variant">
      <vt:variant>
        <vt:i4>1245197</vt:i4>
      </vt:variant>
      <vt:variant>
        <vt:i4>282</vt:i4>
      </vt:variant>
      <vt:variant>
        <vt:i4>0</vt:i4>
      </vt:variant>
      <vt:variant>
        <vt:i4>5</vt:i4>
      </vt:variant>
      <vt:variant>
        <vt:lpwstr>http://www.ema.europa.eu/</vt:lpwstr>
      </vt:variant>
      <vt:variant>
        <vt:lpwstr/>
      </vt:variant>
      <vt:variant>
        <vt:i4>2359399</vt:i4>
      </vt:variant>
      <vt:variant>
        <vt:i4>276</vt:i4>
      </vt:variant>
      <vt:variant>
        <vt:i4>0</vt:i4>
      </vt:variant>
      <vt:variant>
        <vt:i4>5</vt:i4>
      </vt:variant>
      <vt:variant>
        <vt:lpwstr>http://www.ema.europa.eu/docs/en_GB/document_library/Template_or_form/2013/03/WC500139752.doc</vt:lpwstr>
      </vt:variant>
      <vt:variant>
        <vt:lpwstr/>
      </vt:variant>
      <vt:variant>
        <vt:i4>1245197</vt:i4>
      </vt:variant>
      <vt:variant>
        <vt:i4>75</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Jaypirca: EPAR – Product information – tracked changes</dc:title>
  <dc:subject/>
  <dc:creator/>
  <cp:keywords/>
  <cp:lastModifiedBy/>
  <cp:revision>1</cp:revision>
  <dcterms:created xsi:type="dcterms:W3CDTF">2025-07-08T12:19:00Z</dcterms:created>
  <dcterms:modified xsi:type="dcterms:W3CDTF">2025-07-08T12:19:00Z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cc">
    <vt:lpwstr/>
  </property>
  <property fmtid="{D5CDD505-2E9C-101B-9397-08002B2CF9AE}" pid="3" name="DM_Authors">
    <vt:lpwstr/>
  </property>
  <property fmtid="{D5CDD505-2E9C-101B-9397-08002B2CF9AE}" pid="4" name="DM_emea_year">
    <vt:lpwstr>2010</vt:lpwstr>
  </property>
  <property fmtid="{D5CDD505-2E9C-101B-9397-08002B2CF9AE}" pid="5" name="DM_emea_bcc">
    <vt:lpwstr/>
  </property>
  <property fmtid="{D5CDD505-2E9C-101B-9397-08002B2CF9AE}" pid="6" name="DM_Title">
    <vt:lpwstr/>
  </property>
  <property fmtid="{D5CDD505-2E9C-101B-9397-08002B2CF9AE}" pid="7" name="MediaServiceImageTags">
    <vt:lpwstr/>
  </property>
  <property fmtid="{D5CDD505-2E9C-101B-9397-08002B2CF9AE}" pid="8" name="DM_emea_message_subject">
    <vt:lpwstr/>
  </property>
  <property fmtid="{D5CDD505-2E9C-101B-9397-08002B2CF9AE}" pid="9" name="ContentTypeId">
    <vt:lpwstr>0x010100B44A90DE1B9FD043A854E63DD3FD858B</vt:lpwstr>
  </property>
  <property fmtid="{D5CDD505-2E9C-101B-9397-08002B2CF9AE}" pid="10" name="DM_emea_internal_label">
    <vt:lpwstr>EMA</vt:lpwstr>
  </property>
  <property fmtid="{D5CDD505-2E9C-101B-9397-08002B2CF9AE}" pid="11" name="DM_DocRefId">
    <vt:lpwstr>EMA/25988/2021</vt:lpwstr>
  </property>
  <property fmtid="{D5CDD505-2E9C-101B-9397-08002B2CF9AE}" pid="12" name="DM_emea_resp_body">
    <vt:lpwstr/>
  </property>
  <property fmtid="{D5CDD505-2E9C-101B-9397-08002B2CF9AE}" pid="13" name="DM_Modify_Date">
    <vt:lpwstr>15/01/2021 13:39:41</vt:lpwstr>
  </property>
  <property fmtid="{D5CDD505-2E9C-101B-9397-08002B2CF9AE}" pid="14" name="DM_Subject">
    <vt:lpwstr/>
  </property>
  <property fmtid="{D5CDD505-2E9C-101B-9397-08002B2CF9AE}" pid="15" name="MSIP_Label_afe1b31d-cec0-4074-b4bd-f07689e43d84_SetDate">
    <vt:lpwstr>2020-11-26T12:55:39.3103256Z</vt:lpwstr>
  </property>
  <property fmtid="{D5CDD505-2E9C-101B-9397-08002B2CF9AE}" pid="16" name="DM_emea_meeting_ref">
    <vt:lpwstr/>
  </property>
  <property fmtid="{D5CDD505-2E9C-101B-9397-08002B2CF9AE}" pid="17" name="DM_emea_received_date">
    <vt:lpwstr>nulldate</vt:lpwstr>
  </property>
  <property fmtid="{D5CDD505-2E9C-101B-9397-08002B2CF9AE}" pid="18" name="MSIP_Label_afe1b31d-cec0-4074-b4bd-f07689e43d84_ActionId">
    <vt:lpwstr>d2b37d8f-3dd6-4de5-ba27-5b9c45178579</vt:lpwstr>
  </property>
  <property fmtid="{D5CDD505-2E9C-101B-9397-08002B2CF9AE}" pid="19" name="DM_emea_legal_date">
    <vt:lpwstr>nulldate</vt:lpwstr>
  </property>
  <property fmtid="{D5CDD505-2E9C-101B-9397-08002B2CF9AE}" pid="20" name="Classification">
    <vt:lpwstr>Internal All EMA Staff and Contractors</vt:lpwstr>
  </property>
  <property fmtid="{D5CDD505-2E9C-101B-9397-08002B2CF9AE}" pid="21" name="DM_emea_revision_label">
    <vt:lpwstr/>
  </property>
  <property fmtid="{D5CDD505-2E9C-101B-9397-08002B2CF9AE}" pid="22" name="MSIP_Label_0eea11ca-d417-4147-80ed-01a58412c458_Application">
    <vt:lpwstr>Microsoft Azure Information Protection</vt:lpwstr>
  </property>
  <property fmtid="{D5CDD505-2E9C-101B-9397-08002B2CF9AE}" pid="23" name="MSIP_Label_0eea11ca-d417-4147-80ed-01a58412c458_Owner">
    <vt:lpwstr>monica.buch@ema.europa.eu</vt:lpwstr>
  </property>
  <property fmtid="{D5CDD505-2E9C-101B-9397-08002B2CF9AE}" pid="24" name="MSIP_Label_afe1b31d-cec0-4074-b4bd-f07689e43d84_Owner">
    <vt:lpwstr>monica.buch@ema.europa.eu</vt:lpwstr>
  </property>
  <property fmtid="{D5CDD505-2E9C-101B-9397-08002B2CF9AE}" pid="25" name="DM_Creator_Name">
    <vt:lpwstr>Akhtar Timea</vt:lpwstr>
  </property>
  <property fmtid="{D5CDD505-2E9C-101B-9397-08002B2CF9AE}" pid="26" name="MSIP_Label_afe1b31d-cec0-4074-b4bd-f07689e43d84_Extended_MSFT_Method">
    <vt:lpwstr>Automatic</vt:lpwstr>
  </property>
  <property fmtid="{D5CDD505-2E9C-101B-9397-08002B2CF9AE}" pid="27" name="DM_emea_doc_category">
    <vt:lpwstr>General</vt:lpwstr>
  </property>
  <property fmtid="{D5CDD505-2E9C-101B-9397-08002B2CF9AE}" pid="28" name="MSIP_Label_afe1b31d-cec0-4074-b4bd-f07689e43d84_SiteId">
    <vt:lpwstr>bc9dc15c-61bc-4f03-b60b-e5b6d8922839</vt:lpwstr>
  </property>
  <property fmtid="{D5CDD505-2E9C-101B-9397-08002B2CF9AE}" pid="29" name="DM_emea_meeting_hyperlink">
    <vt:lpwstr/>
  </property>
  <property fmtid="{D5CDD505-2E9C-101B-9397-08002B2CF9AE}" pid="30" name="MSIP_Label_0eea11ca-d417-4147-80ed-01a58412c458_Extended_MSFT_Method">
    <vt:lpwstr>Automatic</vt:lpwstr>
  </property>
  <property fmtid="{D5CDD505-2E9C-101B-9397-08002B2CF9AE}" pid="31" name="MSIP_Label_0eea11ca-d417-4147-80ed-01a58412c458_Parent">
    <vt:lpwstr>afe1b31d-cec0-4074-b4bd-f07689e43d84</vt:lpwstr>
  </property>
  <property fmtid="{D5CDD505-2E9C-101B-9397-08002B2CF9AE}" pid="32" name="MSIP_Label_afe1b31d-cec0-4074-b4bd-f07689e43d84_Application">
    <vt:lpwstr>Microsoft Azure Information Protection</vt:lpwstr>
  </property>
  <property fmtid="{D5CDD505-2E9C-101B-9397-08002B2CF9AE}" pid="33" name="DM_Keywords">
    <vt:lpwstr/>
  </property>
  <property fmtid="{D5CDD505-2E9C-101B-9397-08002B2CF9AE}" pid="34" name="DM_emea_doc_number">
    <vt:lpwstr>423415</vt:lpwstr>
  </property>
  <property fmtid="{D5CDD505-2E9C-101B-9397-08002B2CF9AE}" pid="35" name="DM_Author">
    <vt:lpwstr/>
  </property>
  <property fmtid="{D5CDD505-2E9C-101B-9397-08002B2CF9AE}" pid="36" name="DM_emea_from">
    <vt:lpwstr/>
  </property>
  <property fmtid="{D5CDD505-2E9C-101B-9397-08002B2CF9AE}" pid="37" name="DM_Version">
    <vt:lpwstr>1.1,CURRENT</vt:lpwstr>
  </property>
  <property fmtid="{D5CDD505-2E9C-101B-9397-08002B2CF9AE}" pid="38" name="DM_emea_doc_ref_id">
    <vt:lpwstr>EMA/25988/2021</vt:lpwstr>
  </property>
  <property fmtid="{D5CDD505-2E9C-101B-9397-08002B2CF9AE}" pid="39" name="DM_emea_meeting_status">
    <vt:lpwstr/>
  </property>
  <property fmtid="{D5CDD505-2E9C-101B-9397-08002B2CF9AE}" pid="40" name="MSIP_Label_0eea11ca-d417-4147-80ed-01a58412c458_Enabled">
    <vt:lpwstr>True</vt:lpwstr>
  </property>
  <property fmtid="{D5CDD505-2E9C-101B-9397-08002B2CF9AE}" pid="41" name="DM_Path">
    <vt:lpwstr>/02b. Administration of Scientific Meeting/WPs SAGs DGs and other WGs/CxMP - QRD/3. Other activities/02. Procedures/01. QRD PI templates/01 QRD Human Templates/08 H-qrd template v10.2 (Brexit)/Revision 1 - annex II amendment</vt:lpwstr>
  </property>
  <property fmtid="{D5CDD505-2E9C-101B-9397-08002B2CF9AE}" pid="42" name="DM_emea_meeting_action">
    <vt:lpwstr/>
  </property>
  <property fmtid="{D5CDD505-2E9C-101B-9397-08002B2CF9AE}" pid="43" name="DM_emea_meeting_title">
    <vt:lpwstr/>
  </property>
  <property fmtid="{D5CDD505-2E9C-101B-9397-08002B2CF9AE}" pid="44" name="DM_emea_to">
    <vt:lpwstr/>
  </property>
  <property fmtid="{D5CDD505-2E9C-101B-9397-08002B2CF9AE}" pid="45" name="DM_emea_doc_lang">
    <vt:lpwstr/>
  </property>
  <property fmtid="{D5CDD505-2E9C-101B-9397-08002B2CF9AE}" pid="46" name="DM_Creation_Date">
    <vt:lpwstr>15/01/2021 13:39:41</vt:lpwstr>
  </property>
  <property fmtid="{D5CDD505-2E9C-101B-9397-08002B2CF9AE}" pid="47" name="DM_Type">
    <vt:lpwstr>emea_document</vt:lpwstr>
  </property>
  <property fmtid="{D5CDD505-2E9C-101B-9397-08002B2CF9AE}" pid="48" name="DM_emea_sent_date">
    <vt:lpwstr>nulldate</vt:lpwstr>
  </property>
  <property fmtid="{D5CDD505-2E9C-101B-9397-08002B2CF9AE}" pid="49" name="DM_Status">
    <vt:lpwstr/>
  </property>
  <property fmtid="{D5CDD505-2E9C-101B-9397-08002B2CF9AE}" pid="50" name="DM_Name">
    <vt:lpwstr>Hqrdtemplatecleanen v10.2 rev1</vt:lpwstr>
  </property>
  <property fmtid="{D5CDD505-2E9C-101B-9397-08002B2CF9AE}" pid="51" name="DM_Owner">
    <vt:lpwstr>Espinasse Claire</vt:lpwstr>
  </property>
  <property fmtid="{D5CDD505-2E9C-101B-9397-08002B2CF9AE}" pid="52" name="MSIP_Label_0eea11ca-d417-4147-80ed-01a58412c458_SetDate">
    <vt:lpwstr>2020-11-26T12:55:39.3103256Z</vt:lpwstr>
  </property>
  <property fmtid="{D5CDD505-2E9C-101B-9397-08002B2CF9AE}" pid="53" name="DM_Modifier_Name">
    <vt:lpwstr>Akhtar Timea</vt:lpwstr>
  </property>
  <property fmtid="{D5CDD505-2E9C-101B-9397-08002B2CF9AE}" pid="54" name="_CopySource">
    <vt:lpwstr/>
  </property>
  <property fmtid="{D5CDD505-2E9C-101B-9397-08002B2CF9AE}" pid="55" name="MSIP_Label_afe1b31d-cec0-4074-b4bd-f07689e43d84_Name">
    <vt:lpwstr>Internal</vt:lpwstr>
  </property>
  <property fmtid="{D5CDD505-2E9C-101B-9397-08002B2CF9AE}" pid="56" name="DM_Category">
    <vt:lpwstr>Templates and Form</vt:lpwstr>
  </property>
  <property fmtid="{D5CDD505-2E9C-101B-9397-08002B2CF9AE}" pid="57" name="DM_Language">
    <vt:lpwstr/>
  </property>
  <property fmtid="{D5CDD505-2E9C-101B-9397-08002B2CF9AE}" pid="58" name="MSIP_Label_0eea11ca-d417-4147-80ed-01a58412c458_SiteId">
    <vt:lpwstr>bc9dc15c-61bc-4f03-b60b-e5b6d8922839</vt:lpwstr>
  </property>
  <property fmtid="{D5CDD505-2E9C-101B-9397-08002B2CF9AE}" pid="59" name="MSIP_Label_0eea11ca-d417-4147-80ed-01a58412c458_Name">
    <vt:lpwstr>All EMA Staff and Contractors</vt:lpwstr>
  </property>
  <property fmtid="{D5CDD505-2E9C-101B-9397-08002B2CF9AE}" pid="60" name="DM_Modified_Date">
    <vt:lpwstr>15/01/2021 13:39:41</vt:lpwstr>
  </property>
  <property fmtid="{D5CDD505-2E9C-101B-9397-08002B2CF9AE}" pid="61" name="MSIP_Label_0eea11ca-d417-4147-80ed-01a58412c458_ActionId">
    <vt:lpwstr>d2b37d8f-3dd6-4de5-ba27-5b9c45178579</vt:lpwstr>
  </property>
  <property fmtid="{D5CDD505-2E9C-101B-9397-08002B2CF9AE}" pid="62" name="MSIP_Label_afe1b31d-cec0-4074-b4bd-f07689e43d84_Enabled">
    <vt:lpwstr>True</vt:lpwstr>
  </property>
  <property fmtid="{D5CDD505-2E9C-101B-9397-08002B2CF9AE}" pid="63" name="DM_Modifer_Name">
    <vt:lpwstr>Akhtar Timea</vt:lpwstr>
  </property>
  <property fmtid="{D5CDD505-2E9C-101B-9397-08002B2CF9AE}" pid="64" name="DM_emea_meeting_flags">
    <vt:lpwstr/>
  </property>
</Properties>
</file>