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41922" w:rsidRPr="00234376" w14:paraId="3C5A127E" w14:textId="77777777" w:rsidTr="00EB1133">
        <w:trPr>
          <w:cantSplit/>
          <w:trHeight w:val="110"/>
        </w:trPr>
        <w:tc>
          <w:tcPr>
            <w:tcW w:w="4874" w:type="dxa"/>
          </w:tcPr>
          <w:p w14:paraId="1E8DAE07" w14:textId="77777777" w:rsidR="00B41922" w:rsidRPr="00234376" w:rsidRDefault="00B41922" w:rsidP="00EB1133">
            <w:pPr>
              <w:rPr>
                <w:rFonts w:ascii="Arial" w:hAnsi="Arial" w:cs="Arial"/>
                <w:sz w:val="18"/>
                <w:szCs w:val="18"/>
                <w:lang w:val="nl-BE"/>
              </w:rPr>
            </w:pPr>
            <w:bookmarkStart w:id="0" w:name="_GoBack"/>
            <w:bookmarkEnd w:id="0"/>
          </w:p>
        </w:tc>
      </w:tr>
      <w:tr w:rsidR="00B41922" w:rsidRPr="00234376" w14:paraId="7A589640" w14:textId="77777777" w:rsidTr="00EB1133">
        <w:trPr>
          <w:cantSplit/>
          <w:trHeight w:val="110"/>
        </w:trPr>
        <w:tc>
          <w:tcPr>
            <w:tcW w:w="4874" w:type="dxa"/>
          </w:tcPr>
          <w:p w14:paraId="66843E58" w14:textId="77777777" w:rsidR="00B41922" w:rsidRPr="00234376" w:rsidRDefault="00B41922" w:rsidP="00EB1133">
            <w:pPr>
              <w:numPr>
                <w:ilvl w:val="0"/>
                <w:numId w:val="3"/>
              </w:numPr>
              <w:ind w:left="312"/>
              <w:jc w:val="both"/>
              <w:rPr>
                <w:rFonts w:ascii="Arial" w:eastAsiaTheme="minorHAnsi" w:hAnsi="Arial" w:cs="Arial"/>
                <w:color w:val="000000" w:themeColor="text1"/>
                <w:sz w:val="18"/>
                <w:szCs w:val="18"/>
                <w:lang w:val="nl-BE"/>
              </w:rPr>
            </w:pPr>
            <w:r w:rsidRPr="00234376">
              <w:rPr>
                <w:rFonts w:ascii="Arial" w:eastAsiaTheme="minorHAnsi" w:hAnsi="Arial" w:cs="Arial"/>
                <w:color w:val="000000" w:themeColor="text1"/>
                <w:sz w:val="18"/>
                <w:szCs w:val="18"/>
                <w:lang w:val="nl-BE"/>
              </w:rPr>
              <w:t xml:space="preserve">De farmaceutische specialiteit op basis van </w:t>
            </w:r>
            <w:proofErr w:type="spellStart"/>
            <w:r w:rsidRPr="00234376">
              <w:rPr>
                <w:rFonts w:ascii="Arial" w:eastAsiaTheme="minorHAnsi" w:hAnsi="Arial" w:cs="Arial"/>
                <w:color w:val="000000" w:themeColor="text1"/>
                <w:sz w:val="18"/>
                <w:szCs w:val="18"/>
                <w:lang w:val="nl-BE"/>
              </w:rPr>
              <w:t>pirtobrutinib</w:t>
            </w:r>
            <w:proofErr w:type="spellEnd"/>
            <w:r w:rsidRPr="00234376">
              <w:rPr>
                <w:rFonts w:ascii="Arial" w:eastAsiaTheme="minorHAnsi" w:hAnsi="Arial" w:cs="Arial"/>
                <w:color w:val="000000" w:themeColor="text1"/>
                <w:sz w:val="18"/>
                <w:szCs w:val="18"/>
                <w:lang w:val="nl-BE"/>
              </w:rPr>
              <w:t xml:space="preserve">, ingeschreven in de huidige paragraaf,  komt in aanmerking voor vergoeding in monotherapie als ze toegediend wordt aan volwassen rechthebbenden met recidiverend of refractair </w:t>
            </w:r>
            <w:proofErr w:type="spellStart"/>
            <w:r w:rsidRPr="00234376">
              <w:rPr>
                <w:rFonts w:ascii="Arial" w:eastAsiaTheme="minorHAnsi" w:hAnsi="Arial" w:cs="Arial"/>
                <w:color w:val="000000" w:themeColor="text1"/>
                <w:sz w:val="18"/>
                <w:szCs w:val="18"/>
                <w:lang w:val="nl-BE"/>
              </w:rPr>
              <w:t>mantelcellymfoom</w:t>
            </w:r>
            <w:proofErr w:type="spellEnd"/>
            <w:r w:rsidRPr="00234376">
              <w:rPr>
                <w:rFonts w:ascii="Arial" w:eastAsiaTheme="minorHAnsi" w:hAnsi="Arial" w:cs="Arial"/>
                <w:color w:val="000000" w:themeColor="text1"/>
                <w:sz w:val="18"/>
                <w:szCs w:val="18"/>
                <w:lang w:val="nl-BE"/>
              </w:rPr>
              <w:t xml:space="preserve"> (MCL).</w:t>
            </w:r>
          </w:p>
        </w:tc>
      </w:tr>
      <w:tr w:rsidR="00B41922" w:rsidRPr="00B41922" w14:paraId="29A1DC00" w14:textId="77777777" w:rsidTr="00EB1133">
        <w:trPr>
          <w:cantSplit/>
          <w:trHeight w:val="649"/>
        </w:trPr>
        <w:tc>
          <w:tcPr>
            <w:tcW w:w="4874" w:type="dxa"/>
          </w:tcPr>
          <w:p w14:paraId="3388FEC0" w14:textId="77777777" w:rsidR="00B41922" w:rsidRPr="00B41922" w:rsidRDefault="00B41922" w:rsidP="00EB1133">
            <w:pPr>
              <w:rPr>
                <w:rFonts w:ascii="Arial" w:hAnsi="Arial" w:cs="Arial"/>
                <w:sz w:val="18"/>
                <w:szCs w:val="18"/>
              </w:rPr>
            </w:pPr>
          </w:p>
        </w:tc>
      </w:tr>
      <w:tr w:rsidR="00B41922" w:rsidRPr="00234376" w14:paraId="27E6596E" w14:textId="77777777" w:rsidTr="00EB1133">
        <w:trPr>
          <w:cantSplit/>
          <w:trHeight w:val="110"/>
        </w:trPr>
        <w:tc>
          <w:tcPr>
            <w:tcW w:w="4874" w:type="dxa"/>
          </w:tcPr>
          <w:p w14:paraId="4181B415" w14:textId="77777777" w:rsidR="00B41922" w:rsidRPr="00234376" w:rsidRDefault="00B41922" w:rsidP="00EB1133">
            <w:pPr>
              <w:ind w:left="227"/>
              <w:jc w:val="both"/>
              <w:rPr>
                <w:rFonts w:ascii="Arial" w:hAnsi="Arial" w:cs="Arial"/>
                <w:sz w:val="18"/>
                <w:szCs w:val="18"/>
              </w:rPr>
            </w:pPr>
            <w:r w:rsidRPr="00234376">
              <w:rPr>
                <w:rFonts w:ascii="Arial" w:hAnsi="Arial" w:cs="Arial"/>
                <w:sz w:val="18"/>
                <w:szCs w:val="18"/>
                <w:lang w:val="nl-BE"/>
              </w:rPr>
              <w:t>De vergoeding is toegestaan voor zover de rechthebbende</w:t>
            </w:r>
          </w:p>
        </w:tc>
      </w:tr>
      <w:tr w:rsidR="00B41922" w:rsidRPr="00B41922" w14:paraId="16D4D0BF" w14:textId="77777777" w:rsidTr="00EB1133">
        <w:trPr>
          <w:cantSplit/>
          <w:trHeight w:val="110"/>
        </w:trPr>
        <w:tc>
          <w:tcPr>
            <w:tcW w:w="4874" w:type="dxa"/>
          </w:tcPr>
          <w:p w14:paraId="4B019598" w14:textId="77777777" w:rsidR="00B41922" w:rsidRPr="00B41922" w:rsidRDefault="00B41922" w:rsidP="00EB1133">
            <w:pPr>
              <w:rPr>
                <w:rFonts w:ascii="Arial" w:hAnsi="Arial" w:cs="Arial"/>
                <w:sz w:val="18"/>
                <w:szCs w:val="18"/>
              </w:rPr>
            </w:pPr>
          </w:p>
        </w:tc>
      </w:tr>
      <w:tr w:rsidR="00B41922" w:rsidRPr="009B0CF8" w14:paraId="58401038" w14:textId="77777777" w:rsidTr="00EB1133">
        <w:trPr>
          <w:cantSplit/>
          <w:trHeight w:val="110"/>
        </w:trPr>
        <w:tc>
          <w:tcPr>
            <w:tcW w:w="4874" w:type="dxa"/>
          </w:tcPr>
          <w:p w14:paraId="7D58F1C5" w14:textId="77777777" w:rsidR="00B41922" w:rsidRPr="009B0CF8" w:rsidRDefault="00B41922" w:rsidP="00EB1133">
            <w:pPr>
              <w:numPr>
                <w:ilvl w:val="0"/>
                <w:numId w:val="5"/>
              </w:numPr>
              <w:ind w:left="532" w:hanging="266"/>
              <w:contextualSpacing/>
              <w:jc w:val="both"/>
              <w:rPr>
                <w:rFonts w:ascii="Arial" w:hAnsi="Arial" w:cs="Arial"/>
                <w:sz w:val="18"/>
                <w:szCs w:val="18"/>
              </w:rPr>
            </w:pPr>
            <w:r w:rsidRPr="009B0CF8">
              <w:rPr>
                <w:rFonts w:ascii="Arial" w:hAnsi="Arial" w:cs="Arial"/>
                <w:sz w:val="18"/>
                <w:szCs w:val="18"/>
                <w:lang w:val="nl-BE"/>
              </w:rPr>
              <w:t xml:space="preserve">een eerdere behandeling heeft gekregen op basis van een Bruton’s </w:t>
            </w:r>
            <w:proofErr w:type="spellStart"/>
            <w:r w:rsidRPr="009B0CF8">
              <w:rPr>
                <w:rFonts w:ascii="Arial" w:hAnsi="Arial" w:cs="Arial"/>
                <w:sz w:val="18"/>
                <w:szCs w:val="18"/>
                <w:lang w:val="nl-BE"/>
              </w:rPr>
              <w:t>tyrosine</w:t>
            </w:r>
            <w:proofErr w:type="spellEnd"/>
            <w:r w:rsidRPr="009B0CF8">
              <w:rPr>
                <w:rFonts w:ascii="Arial" w:hAnsi="Arial" w:cs="Arial"/>
                <w:sz w:val="18"/>
                <w:szCs w:val="18"/>
                <w:lang w:val="nl-BE"/>
              </w:rPr>
              <w:t xml:space="preserve"> kinase (BTK) inhibitor.</w:t>
            </w:r>
          </w:p>
        </w:tc>
      </w:tr>
      <w:tr w:rsidR="00B41922" w:rsidRPr="00B41922" w14:paraId="22A28A24" w14:textId="77777777" w:rsidTr="00EB1133">
        <w:trPr>
          <w:cantSplit/>
          <w:trHeight w:val="110"/>
        </w:trPr>
        <w:tc>
          <w:tcPr>
            <w:tcW w:w="4874" w:type="dxa"/>
          </w:tcPr>
          <w:p w14:paraId="2CBB25B6" w14:textId="77777777" w:rsidR="00B41922" w:rsidRPr="00B41922" w:rsidRDefault="00B41922" w:rsidP="00EB1133">
            <w:pPr>
              <w:rPr>
                <w:rFonts w:ascii="Arial" w:hAnsi="Arial" w:cs="Arial"/>
                <w:sz w:val="18"/>
                <w:szCs w:val="18"/>
              </w:rPr>
            </w:pPr>
          </w:p>
        </w:tc>
      </w:tr>
      <w:tr w:rsidR="00B41922" w:rsidRPr="009B0CF8" w14:paraId="49409A30" w14:textId="77777777" w:rsidTr="00EB1133">
        <w:trPr>
          <w:cantSplit/>
          <w:trHeight w:val="110"/>
        </w:trPr>
        <w:tc>
          <w:tcPr>
            <w:tcW w:w="4874" w:type="dxa"/>
          </w:tcPr>
          <w:p w14:paraId="509A4472" w14:textId="77777777" w:rsidR="00B41922" w:rsidRPr="009B0CF8" w:rsidRDefault="00B41922" w:rsidP="00EB1133">
            <w:pPr>
              <w:numPr>
                <w:ilvl w:val="0"/>
                <w:numId w:val="5"/>
              </w:numPr>
              <w:ind w:left="532" w:hanging="266"/>
              <w:jc w:val="both"/>
              <w:rPr>
                <w:rFonts w:ascii="Arial" w:eastAsiaTheme="minorHAnsi" w:hAnsi="Arial" w:cs="Arial"/>
                <w:color w:val="000000" w:themeColor="text1"/>
                <w:sz w:val="18"/>
                <w:szCs w:val="18"/>
                <w:lang w:val="nl-BE"/>
              </w:rPr>
            </w:pPr>
            <w:r w:rsidRPr="009B0CF8">
              <w:rPr>
                <w:rFonts w:ascii="Arial" w:eastAsiaTheme="minorHAnsi" w:hAnsi="Arial" w:cs="Arial"/>
                <w:color w:val="333333"/>
                <w:sz w:val="18"/>
                <w:szCs w:val="18"/>
                <w:shd w:val="clear" w:color="auto" w:fill="FFFFFF"/>
                <w:lang w:val="nl-BE"/>
              </w:rPr>
              <w:t xml:space="preserve">en bij wie een behandeling met </w:t>
            </w:r>
            <w:proofErr w:type="spellStart"/>
            <w:r w:rsidRPr="009B0CF8">
              <w:rPr>
                <w:rFonts w:ascii="Arial" w:eastAsiaTheme="minorHAnsi" w:hAnsi="Arial" w:cs="Arial"/>
                <w:color w:val="333333"/>
                <w:sz w:val="18"/>
                <w:szCs w:val="18"/>
                <w:shd w:val="clear" w:color="auto" w:fill="FFFFFF"/>
                <w:lang w:val="nl-BE"/>
              </w:rPr>
              <w:t>brexucabtagene</w:t>
            </w:r>
            <w:proofErr w:type="spellEnd"/>
            <w:r w:rsidRPr="009B0CF8">
              <w:rPr>
                <w:rFonts w:ascii="Arial" w:eastAsiaTheme="minorHAnsi" w:hAnsi="Arial" w:cs="Arial"/>
                <w:color w:val="333333"/>
                <w:sz w:val="18"/>
                <w:szCs w:val="18"/>
                <w:shd w:val="clear" w:color="auto" w:fill="FFFFFF"/>
                <w:lang w:val="nl-BE"/>
              </w:rPr>
              <w:t xml:space="preserve"> </w:t>
            </w:r>
            <w:proofErr w:type="spellStart"/>
            <w:r w:rsidRPr="009B0CF8">
              <w:rPr>
                <w:rFonts w:ascii="Arial" w:eastAsiaTheme="minorHAnsi" w:hAnsi="Arial" w:cs="Arial"/>
                <w:color w:val="333333"/>
                <w:sz w:val="18"/>
                <w:szCs w:val="18"/>
                <w:shd w:val="clear" w:color="auto" w:fill="FFFFFF"/>
                <w:lang w:val="nl-BE"/>
              </w:rPr>
              <w:t>autoleucel</w:t>
            </w:r>
            <w:proofErr w:type="spellEnd"/>
            <w:r w:rsidRPr="009B0CF8">
              <w:rPr>
                <w:rFonts w:ascii="Arial" w:eastAsiaTheme="minorHAnsi" w:hAnsi="Arial" w:cs="Arial"/>
                <w:color w:val="333333"/>
                <w:sz w:val="18"/>
                <w:szCs w:val="18"/>
                <w:shd w:val="clear" w:color="auto" w:fill="FFFFFF"/>
                <w:lang w:val="nl-BE"/>
              </w:rPr>
              <w:t xml:space="preserve"> niet (of nog niet) mogelijk is.</w:t>
            </w:r>
          </w:p>
        </w:tc>
      </w:tr>
      <w:tr w:rsidR="00B41922" w:rsidRPr="00B41922" w14:paraId="0552AB25" w14:textId="77777777" w:rsidTr="00EB1133">
        <w:trPr>
          <w:cantSplit/>
          <w:trHeight w:val="110"/>
        </w:trPr>
        <w:tc>
          <w:tcPr>
            <w:tcW w:w="4874" w:type="dxa"/>
          </w:tcPr>
          <w:p w14:paraId="4E67F5EF" w14:textId="77777777" w:rsidR="00B41922" w:rsidRPr="00B41922" w:rsidRDefault="00B41922" w:rsidP="00EB1133">
            <w:pPr>
              <w:rPr>
                <w:rFonts w:ascii="Arial" w:hAnsi="Arial" w:cs="Arial"/>
                <w:sz w:val="18"/>
                <w:szCs w:val="18"/>
              </w:rPr>
            </w:pPr>
          </w:p>
        </w:tc>
      </w:tr>
      <w:tr w:rsidR="00B41922" w:rsidRPr="00234376" w14:paraId="6E62F21D" w14:textId="77777777" w:rsidTr="00EB1133">
        <w:trPr>
          <w:cantSplit/>
          <w:trHeight w:val="110"/>
        </w:trPr>
        <w:tc>
          <w:tcPr>
            <w:tcW w:w="4874" w:type="dxa"/>
          </w:tcPr>
          <w:p w14:paraId="4F7C4B56" w14:textId="77777777" w:rsidR="00B41922" w:rsidRPr="00234376" w:rsidRDefault="00B41922" w:rsidP="00EB1133">
            <w:pPr>
              <w:ind w:left="227" w:hanging="227"/>
              <w:jc w:val="both"/>
              <w:rPr>
                <w:rFonts w:ascii="Arial" w:eastAsiaTheme="minorHAnsi" w:hAnsi="Arial" w:cs="Arial"/>
                <w:color w:val="000000" w:themeColor="text1"/>
                <w:sz w:val="18"/>
                <w:szCs w:val="18"/>
                <w:lang w:val="nl-BE"/>
              </w:rPr>
            </w:pPr>
            <w:r w:rsidRPr="00234376">
              <w:rPr>
                <w:rFonts w:ascii="Arial" w:eastAsiaTheme="minorHAnsi" w:hAnsi="Arial" w:cs="Arial"/>
                <w:color w:val="000000" w:themeColor="text1"/>
                <w:sz w:val="18"/>
                <w:szCs w:val="18"/>
                <w:lang w:val="nl-BE"/>
              </w:rPr>
              <w:t xml:space="preserve">a’) Overgangsmaatregel : Voor de rechthebbenden die </w:t>
            </w:r>
            <w:r w:rsidRPr="00917212">
              <w:rPr>
                <w:rFonts w:ascii="Arial" w:eastAsiaTheme="minorHAnsi" w:hAnsi="Arial" w:cs="Arial"/>
                <w:color w:val="000000" w:themeColor="text1"/>
                <w:sz w:val="18"/>
                <w:szCs w:val="18"/>
                <w:lang w:val="nl-BE"/>
              </w:rPr>
              <w:t>reeds voor 01.12.2024</w:t>
            </w:r>
            <w:r w:rsidRPr="00234376">
              <w:rPr>
                <w:rFonts w:ascii="Arial" w:eastAsiaTheme="minorHAnsi" w:hAnsi="Arial" w:cs="Arial"/>
                <w:color w:val="000000" w:themeColor="text1"/>
                <w:sz w:val="18"/>
                <w:szCs w:val="18"/>
                <w:lang w:val="nl-BE"/>
              </w:rPr>
              <w:t xml:space="preserve"> werden behandeld met niet-vergoede verpakkingen van deze farmaceutische specialiteit in het kader van een </w:t>
            </w:r>
            <w:proofErr w:type="spellStart"/>
            <w:r w:rsidRPr="00234376">
              <w:rPr>
                <w:rFonts w:ascii="Arial" w:eastAsiaTheme="minorHAnsi" w:hAnsi="Arial" w:cs="Arial"/>
                <w:color w:val="000000" w:themeColor="text1"/>
                <w:sz w:val="18"/>
                <w:szCs w:val="18"/>
                <w:lang w:val="nl-BE"/>
              </w:rPr>
              <w:t>Compassionate</w:t>
            </w:r>
            <w:proofErr w:type="spellEnd"/>
            <w:r w:rsidRPr="00234376">
              <w:rPr>
                <w:rFonts w:ascii="Arial" w:eastAsiaTheme="minorHAnsi" w:hAnsi="Arial" w:cs="Arial"/>
                <w:color w:val="000000" w:themeColor="text1"/>
                <w:sz w:val="18"/>
                <w:szCs w:val="18"/>
                <w:lang w:val="nl-BE"/>
              </w:rPr>
              <w:t xml:space="preserve"> </w:t>
            </w:r>
            <w:proofErr w:type="spellStart"/>
            <w:r w:rsidRPr="00234376">
              <w:rPr>
                <w:rFonts w:ascii="Arial" w:eastAsiaTheme="minorHAnsi" w:hAnsi="Arial" w:cs="Arial"/>
                <w:color w:val="000000" w:themeColor="text1"/>
                <w:sz w:val="18"/>
                <w:szCs w:val="18"/>
                <w:lang w:val="nl-BE"/>
              </w:rPr>
              <w:t>Use</w:t>
            </w:r>
            <w:proofErr w:type="spellEnd"/>
            <w:r w:rsidRPr="00234376">
              <w:rPr>
                <w:rFonts w:ascii="Arial" w:eastAsiaTheme="minorHAnsi" w:hAnsi="Arial" w:cs="Arial"/>
                <w:color w:val="000000" w:themeColor="text1"/>
                <w:sz w:val="18"/>
                <w:szCs w:val="18"/>
                <w:lang w:val="nl-BE"/>
              </w:rPr>
              <w:t xml:space="preserve"> Programma (CUP) en die voor aanvang van de behandeling aan de voorwaarden vermeld onder punt a) voldeden, kan de vergoeding van deze behandeling aangevraagd worden volgens de modaliteiten zoals vermeld onder punt e). De procedure tot vergoeding volgend op een behandeling die begonnen is in het kader van een CUP is geldig gedurende een periode van 6 maanden vanaf de inwerkingtreding van deze paragraaf.</w:t>
            </w:r>
          </w:p>
        </w:tc>
      </w:tr>
      <w:tr w:rsidR="00B41922" w:rsidRPr="00B41922" w14:paraId="47BDF6FB" w14:textId="77777777" w:rsidTr="00EB1133">
        <w:trPr>
          <w:cantSplit/>
          <w:trHeight w:val="110"/>
        </w:trPr>
        <w:tc>
          <w:tcPr>
            <w:tcW w:w="4874" w:type="dxa"/>
          </w:tcPr>
          <w:p w14:paraId="64EF3480" w14:textId="77777777" w:rsidR="00B41922" w:rsidRPr="00B41922" w:rsidRDefault="00B41922" w:rsidP="00EB1133">
            <w:pPr>
              <w:rPr>
                <w:rFonts w:ascii="Arial" w:hAnsi="Arial" w:cs="Arial"/>
                <w:sz w:val="18"/>
                <w:szCs w:val="18"/>
              </w:rPr>
            </w:pPr>
          </w:p>
        </w:tc>
      </w:tr>
      <w:tr w:rsidR="00B41922" w:rsidRPr="00234376" w14:paraId="146714A9" w14:textId="77777777" w:rsidTr="00EB1133">
        <w:trPr>
          <w:cantSplit/>
          <w:trHeight w:val="110"/>
        </w:trPr>
        <w:tc>
          <w:tcPr>
            <w:tcW w:w="4874" w:type="dxa"/>
          </w:tcPr>
          <w:p w14:paraId="5DB8C4E9" w14:textId="77777777" w:rsidR="00B41922" w:rsidRPr="00234376" w:rsidRDefault="00B41922" w:rsidP="00EB1133">
            <w:pPr>
              <w:numPr>
                <w:ilvl w:val="0"/>
                <w:numId w:val="4"/>
              </w:numPr>
              <w:ind w:left="227" w:hanging="227"/>
              <w:contextualSpacing/>
              <w:jc w:val="both"/>
              <w:rPr>
                <w:rFonts w:ascii="Arial" w:hAnsi="Arial" w:cs="Arial"/>
                <w:sz w:val="18"/>
                <w:szCs w:val="18"/>
              </w:rPr>
            </w:pPr>
            <w:r w:rsidRPr="00234376">
              <w:rPr>
                <w:rFonts w:ascii="Arial" w:hAnsi="Arial" w:cs="Arial"/>
                <w:sz w:val="18"/>
                <w:szCs w:val="18"/>
                <w:lang w:val="nl-BE"/>
              </w:rPr>
              <w:t xml:space="preserve">Het aantal vergoedbare verpakkingen zal rekening houden met een maximale dagelijkse </w:t>
            </w:r>
            <w:proofErr w:type="spellStart"/>
            <w:r w:rsidRPr="00234376">
              <w:rPr>
                <w:rFonts w:ascii="Arial" w:hAnsi="Arial" w:cs="Arial"/>
                <w:sz w:val="18"/>
                <w:szCs w:val="18"/>
                <w:lang w:val="nl-BE"/>
              </w:rPr>
              <w:t>posologie</w:t>
            </w:r>
            <w:proofErr w:type="spellEnd"/>
            <w:r w:rsidRPr="00234376">
              <w:rPr>
                <w:rFonts w:ascii="Arial" w:hAnsi="Arial" w:cs="Arial"/>
                <w:sz w:val="18"/>
                <w:szCs w:val="18"/>
                <w:lang w:val="nl-BE"/>
              </w:rPr>
              <w:t xml:space="preserve"> van 200 mg per dag.</w:t>
            </w:r>
          </w:p>
        </w:tc>
      </w:tr>
      <w:tr w:rsidR="00B41922" w:rsidRPr="00B41922" w14:paraId="2810B920" w14:textId="77777777" w:rsidTr="00EB1133">
        <w:trPr>
          <w:cantSplit/>
          <w:trHeight w:val="110"/>
        </w:trPr>
        <w:tc>
          <w:tcPr>
            <w:tcW w:w="4874" w:type="dxa"/>
          </w:tcPr>
          <w:p w14:paraId="51904E17" w14:textId="77777777" w:rsidR="00B41922" w:rsidRPr="00B41922" w:rsidRDefault="00B41922" w:rsidP="00EB1133">
            <w:pPr>
              <w:rPr>
                <w:rFonts w:ascii="Arial" w:hAnsi="Arial" w:cs="Arial"/>
                <w:sz w:val="18"/>
                <w:szCs w:val="18"/>
              </w:rPr>
            </w:pPr>
          </w:p>
        </w:tc>
      </w:tr>
      <w:tr w:rsidR="00B41922" w:rsidRPr="00234376" w14:paraId="601B62AC" w14:textId="77777777" w:rsidTr="00EB1133">
        <w:trPr>
          <w:cantSplit/>
          <w:trHeight w:val="110"/>
        </w:trPr>
        <w:tc>
          <w:tcPr>
            <w:tcW w:w="4874" w:type="dxa"/>
          </w:tcPr>
          <w:p w14:paraId="249AC244" w14:textId="77777777" w:rsidR="00B41922" w:rsidRPr="00234376" w:rsidRDefault="00B41922" w:rsidP="00EB1133">
            <w:pPr>
              <w:numPr>
                <w:ilvl w:val="0"/>
                <w:numId w:val="3"/>
              </w:numPr>
              <w:ind w:left="227" w:hanging="227"/>
              <w:jc w:val="both"/>
              <w:rPr>
                <w:rFonts w:ascii="Arial" w:eastAsiaTheme="minorHAnsi" w:hAnsi="Arial" w:cs="Arial"/>
                <w:color w:val="000000" w:themeColor="text1"/>
                <w:sz w:val="18"/>
                <w:szCs w:val="18"/>
                <w:lang w:val="nl-BE"/>
              </w:rPr>
            </w:pPr>
            <w:r w:rsidRPr="00234376">
              <w:rPr>
                <w:rFonts w:ascii="Arial" w:eastAsiaTheme="minorHAnsi" w:hAnsi="Arial" w:cs="Arial"/>
                <w:color w:val="000000" w:themeColor="text1"/>
                <w:sz w:val="18"/>
                <w:szCs w:val="18"/>
                <w:lang w:val="nl-BE"/>
              </w:rPr>
              <w:t>De vergoeding van de betrokken farmaceutische specialiteit kan enkel worden toegestaan indien deze specialiteit wordt voorgeschreven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rsidR="00B41922" w:rsidRPr="00B41922" w14:paraId="02AC466F" w14:textId="77777777" w:rsidTr="00EB1133">
        <w:trPr>
          <w:cantSplit/>
          <w:trHeight w:val="110"/>
        </w:trPr>
        <w:tc>
          <w:tcPr>
            <w:tcW w:w="4874" w:type="dxa"/>
          </w:tcPr>
          <w:p w14:paraId="15A554A0" w14:textId="77777777" w:rsidR="00B41922" w:rsidRPr="00B41922" w:rsidRDefault="00B41922" w:rsidP="00EB1133">
            <w:pPr>
              <w:rPr>
                <w:rFonts w:ascii="Arial" w:hAnsi="Arial" w:cs="Arial"/>
                <w:sz w:val="18"/>
                <w:szCs w:val="18"/>
              </w:rPr>
            </w:pPr>
          </w:p>
        </w:tc>
      </w:tr>
      <w:tr w:rsidR="00B41922" w:rsidRPr="00234376" w14:paraId="54032E65" w14:textId="77777777" w:rsidTr="00EB1133">
        <w:trPr>
          <w:cantSplit/>
          <w:trHeight w:val="110"/>
        </w:trPr>
        <w:tc>
          <w:tcPr>
            <w:tcW w:w="4874" w:type="dxa"/>
          </w:tcPr>
          <w:p w14:paraId="2616CEAB" w14:textId="77777777" w:rsidR="00B41922" w:rsidRPr="00234376" w:rsidRDefault="00B41922" w:rsidP="00EB1133">
            <w:pPr>
              <w:numPr>
                <w:ilvl w:val="0"/>
                <w:numId w:val="4"/>
              </w:numPr>
              <w:ind w:left="227" w:hanging="227"/>
              <w:jc w:val="both"/>
              <w:rPr>
                <w:rFonts w:ascii="Arial" w:eastAsiaTheme="minorHAnsi" w:hAnsi="Arial" w:cs="Arial"/>
                <w:color w:val="000000" w:themeColor="text1"/>
                <w:sz w:val="18"/>
                <w:szCs w:val="18"/>
                <w:lang w:val="nl-BE"/>
              </w:rPr>
            </w:pPr>
            <w:r w:rsidRPr="00234376">
              <w:rPr>
                <w:rFonts w:ascii="Arial" w:eastAsiaTheme="minorHAnsi" w:hAnsi="Arial" w:cs="Arial"/>
                <w:color w:val="000000" w:themeColor="text1"/>
                <w:sz w:val="18"/>
                <w:szCs w:val="18"/>
                <w:lang w:val="nl-BE"/>
              </w:rPr>
              <w:t>Deze behandeling is slechts vergoed als die, voorafgaand aan de opstart ervan, goedgekeurd werd door een multidisciplinair oncologisch consult (MOC), waarvan het rapport door de arts-specialist vermeld onder punt c) wordt bijgehouden in het dossier.</w:t>
            </w:r>
          </w:p>
        </w:tc>
      </w:tr>
      <w:tr w:rsidR="00B41922" w:rsidRPr="00B41922" w14:paraId="3D3A1C4D" w14:textId="77777777" w:rsidTr="00EB1133">
        <w:trPr>
          <w:cantSplit/>
          <w:trHeight w:val="110"/>
        </w:trPr>
        <w:tc>
          <w:tcPr>
            <w:tcW w:w="4874" w:type="dxa"/>
          </w:tcPr>
          <w:p w14:paraId="1917B2FC" w14:textId="77777777" w:rsidR="00B41922" w:rsidRPr="00B41922" w:rsidRDefault="00B41922" w:rsidP="00EB1133">
            <w:pPr>
              <w:rPr>
                <w:rFonts w:ascii="Arial" w:hAnsi="Arial" w:cs="Arial"/>
                <w:sz w:val="18"/>
                <w:szCs w:val="18"/>
              </w:rPr>
            </w:pPr>
          </w:p>
        </w:tc>
      </w:tr>
      <w:tr w:rsidR="00B41922" w:rsidRPr="00234376" w14:paraId="70FFD978" w14:textId="77777777" w:rsidTr="00EB1133">
        <w:trPr>
          <w:cantSplit/>
          <w:trHeight w:val="110"/>
        </w:trPr>
        <w:tc>
          <w:tcPr>
            <w:tcW w:w="4874" w:type="dxa"/>
          </w:tcPr>
          <w:p w14:paraId="795C9CFF" w14:textId="77777777" w:rsidR="00B41922" w:rsidRPr="00234376" w:rsidRDefault="00B41922" w:rsidP="00EB1133">
            <w:pPr>
              <w:numPr>
                <w:ilvl w:val="0"/>
                <w:numId w:val="3"/>
              </w:numPr>
              <w:ind w:left="227" w:hanging="227"/>
              <w:jc w:val="both"/>
              <w:rPr>
                <w:rFonts w:ascii="Arial" w:eastAsiaTheme="minorHAnsi" w:hAnsi="Arial" w:cs="Arial"/>
                <w:color w:val="000000" w:themeColor="text1"/>
                <w:sz w:val="18"/>
                <w:szCs w:val="18"/>
                <w:lang w:val="nl-BE"/>
              </w:rPr>
            </w:pPr>
            <w:r w:rsidRPr="00234376">
              <w:rPr>
                <w:rFonts w:ascii="Arial" w:eastAsiaTheme="minorHAnsi" w:hAnsi="Arial" w:cs="Arial"/>
                <w:color w:val="000000" w:themeColor="text1"/>
                <w:sz w:val="18"/>
                <w:szCs w:val="18"/>
                <w:lang w:val="nl-BE"/>
              </w:rPr>
              <w:t xml:space="preserve">De vergoeding wordt toegestaan op basis van een elektronische aanvraag, ingediend door de via het eHealth platform geïdentificeerde en </w:t>
            </w:r>
            <w:proofErr w:type="spellStart"/>
            <w:r w:rsidRPr="00234376">
              <w:rPr>
                <w:rFonts w:ascii="Arial" w:eastAsiaTheme="minorHAnsi" w:hAnsi="Arial" w:cs="Arial"/>
                <w:color w:val="000000" w:themeColor="text1"/>
                <w:sz w:val="18"/>
                <w:szCs w:val="18"/>
                <w:lang w:val="nl-BE"/>
              </w:rPr>
              <w:t>geauthentificeerde</w:t>
            </w:r>
            <w:proofErr w:type="spellEnd"/>
            <w:r w:rsidRPr="00234376">
              <w:rPr>
                <w:rFonts w:ascii="Arial" w:eastAsiaTheme="minorHAnsi" w:hAnsi="Arial" w:cs="Arial"/>
                <w:color w:val="000000" w:themeColor="text1"/>
                <w:sz w:val="18"/>
                <w:szCs w:val="18"/>
                <w:lang w:val="nl-BE"/>
              </w:rPr>
              <w:t xml:space="preserve"> arts-specialist vermeld onder punt c), die daardoor verklaart:</w:t>
            </w:r>
          </w:p>
        </w:tc>
      </w:tr>
      <w:tr w:rsidR="00B41922" w:rsidRPr="00B41922" w14:paraId="12436E2B" w14:textId="77777777" w:rsidTr="00EB1133">
        <w:trPr>
          <w:cantSplit/>
          <w:trHeight w:val="179"/>
        </w:trPr>
        <w:tc>
          <w:tcPr>
            <w:tcW w:w="4874" w:type="dxa"/>
          </w:tcPr>
          <w:p w14:paraId="2246D418" w14:textId="77777777" w:rsidR="00B41922" w:rsidRPr="00B41922" w:rsidRDefault="00B41922" w:rsidP="00EB1133">
            <w:pPr>
              <w:rPr>
                <w:rFonts w:ascii="Arial" w:hAnsi="Arial" w:cs="Arial"/>
                <w:sz w:val="18"/>
                <w:szCs w:val="18"/>
              </w:rPr>
            </w:pPr>
          </w:p>
        </w:tc>
      </w:tr>
      <w:tr w:rsidR="00B41922" w:rsidRPr="00234376" w14:paraId="7C36E265" w14:textId="77777777" w:rsidTr="00EB1133">
        <w:trPr>
          <w:cantSplit/>
          <w:trHeight w:val="110"/>
        </w:trPr>
        <w:tc>
          <w:tcPr>
            <w:tcW w:w="4874" w:type="dxa"/>
          </w:tcPr>
          <w:p w14:paraId="3FE62C1B" w14:textId="77777777" w:rsidR="00B41922" w:rsidRPr="00234376" w:rsidRDefault="00B41922" w:rsidP="00EB1133">
            <w:pPr>
              <w:numPr>
                <w:ilvl w:val="0"/>
                <w:numId w:val="1"/>
              </w:numPr>
              <w:ind w:left="532" w:hanging="266"/>
              <w:jc w:val="both"/>
              <w:rPr>
                <w:rFonts w:ascii="Arial" w:eastAsiaTheme="minorHAnsi" w:hAnsi="Arial" w:cs="Arial"/>
                <w:color w:val="000000" w:themeColor="text1"/>
                <w:sz w:val="18"/>
                <w:szCs w:val="18"/>
                <w:lang w:val="nl-BE"/>
              </w:rPr>
            </w:pPr>
            <w:r w:rsidRPr="00234376">
              <w:rPr>
                <w:rFonts w:ascii="Arial" w:eastAsiaTheme="minorHAnsi" w:hAnsi="Arial" w:cs="Arial"/>
                <w:color w:val="000000" w:themeColor="text1"/>
                <w:sz w:val="18"/>
                <w:szCs w:val="18"/>
                <w:lang w:val="nl-BE"/>
              </w:rPr>
              <w:t>dat alle voorwaarden in punt a) zijn vervuld;</w:t>
            </w:r>
          </w:p>
        </w:tc>
      </w:tr>
      <w:tr w:rsidR="00B41922" w:rsidRPr="00B41922" w14:paraId="491D691E" w14:textId="77777777" w:rsidTr="00EB1133">
        <w:trPr>
          <w:cantSplit/>
          <w:trHeight w:val="110"/>
        </w:trPr>
        <w:tc>
          <w:tcPr>
            <w:tcW w:w="4874" w:type="dxa"/>
          </w:tcPr>
          <w:p w14:paraId="60982DAE" w14:textId="77777777" w:rsidR="00B41922" w:rsidRPr="00B41922" w:rsidRDefault="00B41922" w:rsidP="00EB1133">
            <w:pPr>
              <w:jc w:val="both"/>
              <w:rPr>
                <w:rFonts w:ascii="Arial" w:eastAsiaTheme="minorHAnsi" w:hAnsi="Arial" w:cs="Arial"/>
                <w:color w:val="000000" w:themeColor="text1"/>
                <w:sz w:val="18"/>
                <w:szCs w:val="18"/>
              </w:rPr>
            </w:pPr>
          </w:p>
        </w:tc>
      </w:tr>
      <w:tr w:rsidR="00B41922" w:rsidRPr="00234376" w14:paraId="77F4BAE8" w14:textId="77777777" w:rsidTr="00EB1133">
        <w:trPr>
          <w:cantSplit/>
          <w:trHeight w:val="110"/>
        </w:trPr>
        <w:tc>
          <w:tcPr>
            <w:tcW w:w="4874" w:type="dxa"/>
          </w:tcPr>
          <w:p w14:paraId="085675E0" w14:textId="77777777" w:rsidR="00B41922" w:rsidRPr="00234376" w:rsidRDefault="00B41922" w:rsidP="00EB1133">
            <w:pPr>
              <w:numPr>
                <w:ilvl w:val="0"/>
                <w:numId w:val="1"/>
              </w:numPr>
              <w:ind w:left="532" w:hanging="266"/>
              <w:jc w:val="both"/>
              <w:rPr>
                <w:rFonts w:ascii="Arial" w:eastAsiaTheme="minorHAnsi" w:hAnsi="Arial" w:cs="Arial"/>
                <w:color w:val="000000" w:themeColor="text1"/>
                <w:sz w:val="18"/>
                <w:szCs w:val="18"/>
                <w:lang w:val="nl-BE"/>
              </w:rPr>
            </w:pPr>
            <w:r w:rsidRPr="00234376">
              <w:rPr>
                <w:rFonts w:ascii="Arial" w:eastAsiaTheme="minorHAnsi" w:hAnsi="Arial" w:cs="Arial"/>
                <w:color w:val="000000" w:themeColor="text1"/>
                <w:sz w:val="18"/>
                <w:szCs w:val="18"/>
                <w:lang w:val="nl-BE"/>
              </w:rPr>
              <w:t>zich er toe te verbinden om ten behoeve van de adviserend arts de bewijsstukken ter beschikking te houden die de geattesteerde gegevens bevestigen;</w:t>
            </w:r>
          </w:p>
        </w:tc>
      </w:tr>
      <w:tr w:rsidR="00B41922" w:rsidRPr="00B41922" w14:paraId="36937301" w14:textId="77777777" w:rsidTr="00EB1133">
        <w:trPr>
          <w:cantSplit/>
          <w:trHeight w:val="110"/>
        </w:trPr>
        <w:tc>
          <w:tcPr>
            <w:tcW w:w="4874" w:type="dxa"/>
          </w:tcPr>
          <w:p w14:paraId="02B360C1" w14:textId="77777777" w:rsidR="00B41922" w:rsidRPr="00B41922" w:rsidRDefault="00B41922" w:rsidP="00EB1133">
            <w:pPr>
              <w:jc w:val="both"/>
              <w:rPr>
                <w:rFonts w:ascii="Arial" w:eastAsiaTheme="minorHAnsi" w:hAnsi="Arial" w:cs="Arial"/>
                <w:color w:val="000000" w:themeColor="text1"/>
                <w:sz w:val="18"/>
                <w:szCs w:val="18"/>
              </w:rPr>
            </w:pPr>
          </w:p>
        </w:tc>
      </w:tr>
      <w:tr w:rsidR="00B41922" w:rsidRPr="00234376" w14:paraId="5B49CECD" w14:textId="77777777" w:rsidTr="00EB1133">
        <w:trPr>
          <w:cantSplit/>
          <w:trHeight w:val="110"/>
        </w:trPr>
        <w:tc>
          <w:tcPr>
            <w:tcW w:w="4874" w:type="dxa"/>
          </w:tcPr>
          <w:p w14:paraId="51AFAB41" w14:textId="77777777" w:rsidR="00B41922" w:rsidRPr="00234376" w:rsidRDefault="00B41922" w:rsidP="00EB1133">
            <w:pPr>
              <w:numPr>
                <w:ilvl w:val="0"/>
                <w:numId w:val="2"/>
              </w:numPr>
              <w:ind w:left="579" w:hanging="142"/>
              <w:jc w:val="both"/>
              <w:rPr>
                <w:rFonts w:ascii="Arial" w:eastAsiaTheme="minorHAnsi" w:hAnsi="Arial" w:cs="Arial"/>
                <w:color w:val="000000" w:themeColor="text1"/>
                <w:sz w:val="18"/>
                <w:szCs w:val="18"/>
                <w:lang w:val="nl-BE"/>
              </w:rPr>
            </w:pPr>
            <w:r w:rsidRPr="00234376">
              <w:rPr>
                <w:rFonts w:ascii="Arial" w:eastAsiaTheme="minorHAnsi" w:hAnsi="Arial" w:cs="Arial"/>
                <w:color w:val="000000" w:themeColor="text1"/>
                <w:sz w:val="18"/>
                <w:szCs w:val="18"/>
                <w:lang w:val="nl-BE"/>
              </w:rPr>
              <w:t>in het medisch dossier over het rapport van het multidisciplinair oncologisch consult (MOC) te beschikken dat het akkoord voor de behandeling waarvoor vergoeding wordt aangevraagd vermeldt;</w:t>
            </w:r>
          </w:p>
        </w:tc>
      </w:tr>
      <w:tr w:rsidR="00B41922" w:rsidRPr="00B41922" w14:paraId="5258E06B" w14:textId="77777777" w:rsidTr="00EB1133">
        <w:trPr>
          <w:cantSplit/>
          <w:trHeight w:val="110"/>
        </w:trPr>
        <w:tc>
          <w:tcPr>
            <w:tcW w:w="4874" w:type="dxa"/>
          </w:tcPr>
          <w:p w14:paraId="398F87C8" w14:textId="77777777" w:rsidR="00B41922" w:rsidRPr="00B41922" w:rsidRDefault="00B41922" w:rsidP="00EB1133">
            <w:pPr>
              <w:jc w:val="both"/>
              <w:rPr>
                <w:rFonts w:ascii="Arial" w:eastAsiaTheme="minorHAnsi" w:hAnsi="Arial" w:cs="Arial"/>
                <w:color w:val="000000" w:themeColor="text1"/>
                <w:sz w:val="18"/>
                <w:szCs w:val="18"/>
              </w:rPr>
            </w:pPr>
          </w:p>
        </w:tc>
      </w:tr>
      <w:tr w:rsidR="00B41922" w:rsidRPr="00234376" w14:paraId="229C5A54" w14:textId="77777777" w:rsidTr="00EB1133">
        <w:trPr>
          <w:cantSplit/>
          <w:trHeight w:val="110"/>
        </w:trPr>
        <w:tc>
          <w:tcPr>
            <w:tcW w:w="4874" w:type="dxa"/>
          </w:tcPr>
          <w:p w14:paraId="36A63DC4" w14:textId="77777777" w:rsidR="00B41922" w:rsidRPr="00234376" w:rsidRDefault="00B41922" w:rsidP="00EB1133">
            <w:pPr>
              <w:numPr>
                <w:ilvl w:val="0"/>
                <w:numId w:val="2"/>
              </w:numPr>
              <w:ind w:left="579" w:hanging="142"/>
              <w:jc w:val="both"/>
              <w:rPr>
                <w:rFonts w:ascii="Arial" w:eastAsiaTheme="minorHAnsi" w:hAnsi="Arial" w:cs="Arial"/>
                <w:color w:val="000000" w:themeColor="text1"/>
                <w:sz w:val="18"/>
                <w:szCs w:val="18"/>
                <w:lang w:val="nl-BE"/>
              </w:rPr>
            </w:pPr>
            <w:r w:rsidRPr="00234376">
              <w:rPr>
                <w:rFonts w:ascii="Arial" w:eastAsiaTheme="minorHAnsi" w:hAnsi="Arial" w:cs="Arial"/>
                <w:color w:val="000000" w:themeColor="text1"/>
                <w:sz w:val="18"/>
                <w:szCs w:val="18"/>
              </w:rPr>
              <w:t xml:space="preserve">te </w:t>
            </w:r>
            <w:r w:rsidRPr="00234376">
              <w:rPr>
                <w:rFonts w:ascii="Arial" w:eastAsiaTheme="minorHAnsi" w:hAnsi="Arial" w:cs="Arial"/>
                <w:color w:val="000000" w:themeColor="text1"/>
                <w:sz w:val="18"/>
                <w:szCs w:val="18"/>
                <w:lang w:val="nl-BE"/>
              </w:rPr>
              <w:t xml:space="preserve">weten dat voor het aantal vergoedbare verpakkingen rekening gehouden wordt met een maximale dagelijkse </w:t>
            </w:r>
            <w:proofErr w:type="spellStart"/>
            <w:r w:rsidRPr="00234376">
              <w:rPr>
                <w:rFonts w:ascii="Arial" w:eastAsiaTheme="minorHAnsi" w:hAnsi="Arial" w:cs="Arial"/>
                <w:color w:val="000000" w:themeColor="text1"/>
                <w:sz w:val="18"/>
                <w:szCs w:val="18"/>
                <w:lang w:val="nl-BE"/>
              </w:rPr>
              <w:t>posologie</w:t>
            </w:r>
            <w:proofErr w:type="spellEnd"/>
            <w:r w:rsidRPr="00234376">
              <w:rPr>
                <w:rFonts w:ascii="Arial" w:eastAsiaTheme="minorHAnsi" w:hAnsi="Arial" w:cs="Arial"/>
                <w:color w:val="000000" w:themeColor="text1"/>
                <w:sz w:val="18"/>
                <w:szCs w:val="18"/>
                <w:lang w:val="nl-BE"/>
              </w:rPr>
              <w:t xml:space="preserve"> van 200 mg per dag;</w:t>
            </w:r>
          </w:p>
        </w:tc>
      </w:tr>
      <w:tr w:rsidR="00B41922" w:rsidRPr="00B41922" w14:paraId="75E00BC5" w14:textId="77777777" w:rsidTr="00EB1133">
        <w:trPr>
          <w:cantSplit/>
          <w:trHeight w:val="110"/>
        </w:trPr>
        <w:tc>
          <w:tcPr>
            <w:tcW w:w="4874" w:type="dxa"/>
          </w:tcPr>
          <w:p w14:paraId="6341FEFD" w14:textId="77777777" w:rsidR="00B41922" w:rsidRPr="00B41922" w:rsidRDefault="00B41922" w:rsidP="00EB1133">
            <w:pPr>
              <w:rPr>
                <w:rFonts w:ascii="Arial" w:hAnsi="Arial" w:cs="Arial"/>
                <w:sz w:val="18"/>
                <w:szCs w:val="18"/>
              </w:rPr>
            </w:pPr>
          </w:p>
        </w:tc>
      </w:tr>
      <w:tr w:rsidR="00B41922" w:rsidRPr="00234376" w14:paraId="719C1FBE" w14:textId="77777777" w:rsidTr="00EB1133">
        <w:trPr>
          <w:cantSplit/>
          <w:trHeight w:val="110"/>
        </w:trPr>
        <w:tc>
          <w:tcPr>
            <w:tcW w:w="4874" w:type="dxa"/>
          </w:tcPr>
          <w:p w14:paraId="2F3078EE" w14:textId="77777777" w:rsidR="00B41922" w:rsidRPr="00234376" w:rsidRDefault="00B41922" w:rsidP="00EB1133">
            <w:pPr>
              <w:numPr>
                <w:ilvl w:val="0"/>
                <w:numId w:val="2"/>
              </w:numPr>
              <w:ind w:left="579" w:hanging="142"/>
              <w:jc w:val="both"/>
              <w:rPr>
                <w:rFonts w:ascii="Arial" w:eastAsiaTheme="minorHAnsi" w:hAnsi="Arial" w:cs="Arial"/>
                <w:color w:val="000000" w:themeColor="text1"/>
                <w:sz w:val="18"/>
                <w:szCs w:val="18"/>
                <w:lang w:val="nl-BE"/>
              </w:rPr>
            </w:pPr>
            <w:r w:rsidRPr="00234376">
              <w:rPr>
                <w:rFonts w:ascii="Arial" w:eastAsiaTheme="minorHAnsi" w:hAnsi="Arial" w:cs="Arial"/>
                <w:color w:val="000000" w:themeColor="text1"/>
                <w:sz w:val="18"/>
                <w:szCs w:val="18"/>
                <w:lang w:val="nl-BE"/>
              </w:rPr>
              <w:t>te weten, dat de behandeling niet meer vergoed wordt bij vaststelling van progressie van de ziekte zoals bepaald volgens de meest recente criteria van de internationale werkgroep voor non-Hodgkin lymfomen, ondanks de lopende behandeling.</w:t>
            </w:r>
          </w:p>
        </w:tc>
      </w:tr>
      <w:tr w:rsidR="00B41922" w:rsidRPr="00B41922" w14:paraId="3965A54D" w14:textId="77777777" w:rsidTr="00EB1133">
        <w:trPr>
          <w:cantSplit/>
          <w:trHeight w:val="110"/>
        </w:trPr>
        <w:tc>
          <w:tcPr>
            <w:tcW w:w="4874" w:type="dxa"/>
          </w:tcPr>
          <w:p w14:paraId="0D7AC1B3" w14:textId="77777777" w:rsidR="00B41922" w:rsidRPr="00B41922" w:rsidRDefault="00B41922" w:rsidP="00EB1133">
            <w:pPr>
              <w:rPr>
                <w:rFonts w:ascii="Arial" w:hAnsi="Arial" w:cs="Arial"/>
                <w:sz w:val="18"/>
                <w:szCs w:val="18"/>
              </w:rPr>
            </w:pPr>
          </w:p>
        </w:tc>
      </w:tr>
      <w:tr w:rsidR="00B41922" w:rsidRPr="00234376" w14:paraId="49311789" w14:textId="77777777" w:rsidTr="00EB1133">
        <w:trPr>
          <w:cantSplit/>
          <w:trHeight w:val="110"/>
        </w:trPr>
        <w:tc>
          <w:tcPr>
            <w:tcW w:w="4874" w:type="dxa"/>
          </w:tcPr>
          <w:p w14:paraId="0B835A6F" w14:textId="77777777" w:rsidR="00B41922" w:rsidRPr="00234376" w:rsidRDefault="00B41922" w:rsidP="00EB1133">
            <w:pPr>
              <w:ind w:left="227" w:hanging="227"/>
              <w:contextualSpacing/>
              <w:jc w:val="both"/>
              <w:rPr>
                <w:rFonts w:ascii="Arial" w:hAnsi="Arial" w:cs="Arial"/>
                <w:sz w:val="18"/>
                <w:szCs w:val="18"/>
              </w:rPr>
            </w:pPr>
            <w:r w:rsidRPr="00234376">
              <w:rPr>
                <w:rFonts w:ascii="Arial" w:hAnsi="Arial" w:cs="Arial"/>
                <w:sz w:val="18"/>
                <w:szCs w:val="18"/>
              </w:rPr>
              <w:t xml:space="preserve">f) </w:t>
            </w:r>
            <w:r w:rsidRPr="00234376">
              <w:rPr>
                <w:rFonts w:ascii="Arial" w:hAnsi="Arial" w:cs="Arial"/>
                <w:sz w:val="18"/>
                <w:szCs w:val="18"/>
                <w:lang w:val="nl-BE"/>
              </w:rPr>
              <w:t>De vergoeding wordt toegekend als de betrokken ziekenhuisapotheker, vooraleer de specialiteit verstrekt wordt, beschikt over een bewijs van de elektronisch akkoord.</w:t>
            </w:r>
          </w:p>
        </w:tc>
      </w:tr>
    </w:tbl>
    <w:p w14:paraId="1FDCD6A1" w14:textId="77777777" w:rsidR="009F487C" w:rsidRDefault="009F487C"/>
    <w:p w14:paraId="0492FE53" w14:textId="5FA7B617" w:rsidR="00EA1416" w:rsidRDefault="00EA1416">
      <w:r>
        <w:t>www.riziv.be</w:t>
      </w:r>
    </w:p>
    <w:p w14:paraId="0C9C6993" w14:textId="3D3DBD46" w:rsidR="008016CE" w:rsidRDefault="008016CE">
      <w:r>
        <w:t>PP-PT-BE-0125 – November 2025</w:t>
      </w:r>
    </w:p>
    <w:p w14:paraId="22151711" w14:textId="77777777" w:rsidR="00A654C3" w:rsidRDefault="00A654C3"/>
    <w:p w14:paraId="099F72AF" w14:textId="060799DE" w:rsidR="00646D75" w:rsidRDefault="00021351">
      <w:r>
        <w:rPr>
          <w:rFonts w:asciiTheme="majorBidi" w:hAnsiTheme="majorBidi" w:cstheme="majorBidi"/>
          <w:b/>
          <w:noProof/>
          <w:color w:val="000000"/>
          <w:sz w:val="16"/>
          <w:szCs w:val="16"/>
          <w:u w:color="FFFFFF"/>
          <w:lang w:val="en-GB" w:eastAsia="en-GB"/>
          <w14:ligatures w14:val="standardContextual"/>
        </w:rPr>
        <mc:AlternateContent>
          <mc:Choice Requires="wps">
            <w:drawing>
              <wp:anchor distT="0" distB="0" distL="114300" distR="114300" simplePos="0" relativeHeight="251659264" behindDoc="0" locked="0" layoutInCell="1" allowOverlap="1" wp14:anchorId="4D371DD6" wp14:editId="6792AA06">
                <wp:simplePos x="0" y="0"/>
                <wp:positionH relativeFrom="column">
                  <wp:posOffset>476250</wp:posOffset>
                </wp:positionH>
                <wp:positionV relativeFrom="paragraph">
                  <wp:posOffset>8255</wp:posOffset>
                </wp:positionV>
                <wp:extent cx="76200" cy="88900"/>
                <wp:effectExtent l="19050" t="0" r="38100" b="44450"/>
                <wp:wrapNone/>
                <wp:docPr id="1088421988" name="Isosceles Triangle 2"/>
                <wp:cNvGraphicFramePr/>
                <a:graphic xmlns:a="http://schemas.openxmlformats.org/drawingml/2006/main">
                  <a:graphicData uri="http://schemas.microsoft.com/office/word/2010/wordprocessingShape">
                    <wps:wsp>
                      <wps:cNvSpPr/>
                      <wps:spPr>
                        <a:xfrm rot="10800000">
                          <a:off x="0" y="0"/>
                          <a:ext cx="76200" cy="8890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F5F0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7.5pt;margin-top:.65pt;width:6pt;height:7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" fillcolor="black [3213]" strokecolor="black [3213]" strokeweight="1pt"/>
            </w:pict>
          </mc:Fallback>
        </mc:AlternateContent>
      </w:r>
      <w:proofErr w:type="spellStart"/>
      <w:r w:rsidR="00646D75">
        <w:t>Jaypirca</w:t>
      </w:r>
      <w:proofErr w:type="spellEnd"/>
    </w:p>
    <w:p w14:paraId="2A49A019" w14:textId="77777777" w:rsidR="00C845A1" w:rsidRDefault="00C845A1">
      <w:pPr>
        <w:rPr>
          <w:rFonts w:asciiTheme="majorBidi" w:hAnsiTheme="majorBidi" w:cstheme="majorBidi"/>
          <w:b/>
          <w:color w:val="000000"/>
          <w:sz w:val="16"/>
          <w:szCs w:val="16"/>
          <w:u w:color="FFFFFF"/>
          <w:lang w:val="nl-BE"/>
        </w:rPr>
      </w:pPr>
    </w:p>
    <w:p w14:paraId="4C193C67" w14:textId="76145B83" w:rsidR="00646D75" w:rsidRDefault="00C845A1">
      <w:r w:rsidRPr="00744DE6">
        <w:rPr>
          <w:rFonts w:asciiTheme="majorBidi" w:hAnsiTheme="majorBidi" w:cstheme="majorBidi"/>
          <w:b/>
          <w:color w:val="000000"/>
          <w:sz w:val="16"/>
          <w:szCs w:val="16"/>
          <w:u w:color="FFFFFF"/>
          <w:lang w:val="nl-BE"/>
        </w:rPr>
        <w:t xml:space="preserve"> </w:t>
      </w:r>
      <w:r w:rsidRPr="00744DE6">
        <w:rPr>
          <w:rFonts w:asciiTheme="majorBidi" w:hAnsiTheme="majorBidi" w:cstheme="majorBidi"/>
          <w:b/>
          <w:color w:val="000000"/>
          <w:sz w:val="16"/>
          <w:szCs w:val="16"/>
          <w:u w:color="FFFFFF"/>
        </w:rPr>
        <w:t xml:space="preserve"> </w:t>
      </w:r>
      <w:r>
        <w:rPr>
          <w:rFonts w:asciiTheme="majorBidi" w:hAnsiTheme="majorBidi" w:cstheme="majorBidi"/>
          <w:sz w:val="16"/>
          <w:szCs w:val="16"/>
        </w:rPr>
        <w:t xml:space="preserve"> </w:t>
      </w:r>
      <w:r>
        <w:rPr>
          <w:rFonts w:asciiTheme="majorBidi" w:hAnsiTheme="majorBidi" w:cstheme="majorBidi"/>
          <w:noProof/>
          <w:sz w:val="16"/>
          <w:szCs w:val="16"/>
          <w:lang w:val="en-GB" w:eastAsia="en-GB"/>
        </w:rPr>
        <w:drawing>
          <wp:inline distT="0" distB="0" distL="0" distR="0" wp14:anchorId="7889F8E5" wp14:editId="21FAFB68">
            <wp:extent cx="95250" cy="95250"/>
            <wp:effectExtent l="0" t="0" r="0" b="0"/>
            <wp:docPr id="237274518"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8F0">
        <w:rPr>
          <w:rFonts w:asciiTheme="majorBidi" w:hAnsiTheme="majorBidi" w:cstheme="majorBidi"/>
          <w:color w:val="000000"/>
          <w:sz w:val="16"/>
          <w:szCs w:val="16"/>
          <w:u w:color="FFFFFF"/>
        </w:rPr>
        <w:t>Dit geneesmiddel is onderworpen aan aanvullende monitoring. Daardoor kan snel nieuwe veiligheidsinformatie worden vastgesteld. Beroepsbeoefenaren in de gezondheidszorg wordt verzocht alle vermoedelijke bijwerkingen te melden.</w:t>
      </w:r>
    </w:p>
    <w:sectPr w:rsidR="00646D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D4217"/>
    <w:multiLevelType w:val="hybridMultilevel"/>
    <w:tmpl w:val="3934116E"/>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Calibri" w:eastAsia="Times New Roman" w:hAnsi="Calibri" w:cs="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F06312"/>
    <w:multiLevelType w:val="hybridMultilevel"/>
    <w:tmpl w:val="CF6A9BD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B4333"/>
    <w:multiLevelType w:val="hybridMultilevel"/>
    <w:tmpl w:val="350C841C"/>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Calibri" w:eastAsia="Times New Roman" w:hAnsi="Calibri" w:cs="Calibri"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861EA8"/>
    <w:multiLevelType w:val="hybridMultilevel"/>
    <w:tmpl w:val="1CEE4EFE"/>
    <w:lvl w:ilvl="0" w:tplc="08090001">
      <w:start w:val="1"/>
      <w:numFmt w:val="bullet"/>
      <w:lvlText w:val=""/>
      <w:lvlJc w:val="left"/>
      <w:pPr>
        <w:ind w:left="720" w:hanging="360"/>
      </w:pPr>
      <w:rPr>
        <w:rFonts w:ascii="Symbol" w:hAnsi="Symbol" w:hint="default"/>
      </w:rPr>
    </w:lvl>
    <w:lvl w:ilvl="1" w:tplc="4DC27A5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3D265D"/>
    <w:multiLevelType w:val="hybridMultilevel"/>
    <w:tmpl w:val="0EFA008E"/>
    <w:lvl w:ilvl="0" w:tplc="24B45618">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22"/>
    <w:rsid w:val="00021351"/>
    <w:rsid w:val="00203876"/>
    <w:rsid w:val="00646D75"/>
    <w:rsid w:val="008016CE"/>
    <w:rsid w:val="00852E2C"/>
    <w:rsid w:val="00914CB4"/>
    <w:rsid w:val="00931E0F"/>
    <w:rsid w:val="009F487C"/>
    <w:rsid w:val="00A654C3"/>
    <w:rsid w:val="00B41922"/>
    <w:rsid w:val="00C845A1"/>
    <w:rsid w:val="00DB2D06"/>
    <w:rsid w:val="00EA1416"/>
    <w:rsid w:val="00F3735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7BBB"/>
  <w15:chartTrackingRefBased/>
  <w15:docId w15:val="{1182E7A1-9B6A-46A1-B881-BA0F2217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1922"/>
    <w:pPr>
      <w:spacing w:after="0" w:line="240" w:lineRule="auto"/>
    </w:pPr>
    <w:rPr>
      <w:rFonts w:ascii="Times New Roman" w:eastAsia="Times New Roman" w:hAnsi="Times New Roman" w:cs="Times New Roman"/>
      <w:kern w:val="0"/>
      <w:sz w:val="20"/>
      <w:szCs w:val="20"/>
      <w:lang w:val="nl-NL"/>
      <w14:ligatures w14:val="none"/>
    </w:rPr>
  </w:style>
  <w:style w:type="paragraph" w:styleId="Kop1">
    <w:name w:val="heading 1"/>
    <w:basedOn w:val="Standaard"/>
    <w:next w:val="Standaard"/>
    <w:link w:val="Kop1Char"/>
    <w:uiPriority w:val="9"/>
    <w:qFormat/>
    <w:rsid w:val="00B41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1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19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19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19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192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192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192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192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19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19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19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19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19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19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19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19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1922"/>
    <w:rPr>
      <w:rFonts w:eastAsiaTheme="majorEastAsia" w:cstheme="majorBidi"/>
      <w:color w:val="272727" w:themeColor="text1" w:themeTint="D8"/>
    </w:rPr>
  </w:style>
  <w:style w:type="paragraph" w:styleId="Titel">
    <w:name w:val="Title"/>
    <w:basedOn w:val="Standaard"/>
    <w:next w:val="Standaard"/>
    <w:link w:val="TitelChar"/>
    <w:uiPriority w:val="10"/>
    <w:qFormat/>
    <w:rsid w:val="00B4192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19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19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19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19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1922"/>
    <w:rPr>
      <w:i/>
      <w:iCs/>
      <w:color w:val="404040" w:themeColor="text1" w:themeTint="BF"/>
    </w:rPr>
  </w:style>
  <w:style w:type="paragraph" w:styleId="Lijstalinea">
    <w:name w:val="List Paragraph"/>
    <w:basedOn w:val="Standaard"/>
    <w:uiPriority w:val="34"/>
    <w:qFormat/>
    <w:rsid w:val="00B41922"/>
    <w:pPr>
      <w:ind w:left="720"/>
      <w:contextualSpacing/>
    </w:pPr>
  </w:style>
  <w:style w:type="character" w:styleId="Intensievebenadrukking">
    <w:name w:val="Intense Emphasis"/>
    <w:basedOn w:val="Standaardalinea-lettertype"/>
    <w:uiPriority w:val="21"/>
    <w:qFormat/>
    <w:rsid w:val="00B41922"/>
    <w:rPr>
      <w:i/>
      <w:iCs/>
      <w:color w:val="0F4761" w:themeColor="accent1" w:themeShade="BF"/>
    </w:rPr>
  </w:style>
  <w:style w:type="paragraph" w:styleId="Duidelijkcitaat">
    <w:name w:val="Intense Quote"/>
    <w:basedOn w:val="Standaard"/>
    <w:next w:val="Standaard"/>
    <w:link w:val="DuidelijkcitaatChar"/>
    <w:uiPriority w:val="30"/>
    <w:qFormat/>
    <w:rsid w:val="00B41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1922"/>
    <w:rPr>
      <w:i/>
      <w:iCs/>
      <w:color w:val="0F4761" w:themeColor="accent1" w:themeShade="BF"/>
    </w:rPr>
  </w:style>
  <w:style w:type="character" w:styleId="Intensieveverwijzing">
    <w:name w:val="Intense Reference"/>
    <w:basedOn w:val="Standaardalinea-lettertype"/>
    <w:uiPriority w:val="32"/>
    <w:qFormat/>
    <w:rsid w:val="00B419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4A90DE1B9FD043A854E63DD3FD858B" ma:contentTypeVersion="13" ma:contentTypeDescription="Create a new document." ma:contentTypeScope="" ma:versionID="8472822f78c3a09a45139cb39a1cd576">
  <xsd:schema xmlns:xsd="http://www.w3.org/2001/XMLSchema" xmlns:xs="http://www.w3.org/2001/XMLSchema" xmlns:p="http://schemas.microsoft.com/office/2006/metadata/properties" xmlns:ns2="5e7a4d30-5101-493f-ab33-2ee9bb6b4fff" xmlns:ns3="c56a36b4-67f0-4405-a4e3-75358dfcc6ae" targetNamespace="http://schemas.microsoft.com/office/2006/metadata/properties" ma:root="true" ma:fieldsID="faaa8b71068c6541d0b88201d6c6e387" ns2:_="" ns3:_="">
    <xsd:import namespace="5e7a4d30-5101-493f-ab33-2ee9bb6b4fff"/>
    <xsd:import namespace="c56a36b4-67f0-4405-a4e3-75358dfcc6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a4d30-5101-493f-ab33-2ee9bb6b4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adb9bf-65a7-4dcd-b9fe-2cabe70ed6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6a36b4-67f0-4405-a4e3-75358dfcc6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154092-f7d2-470c-a2a8-8205aa6293aa}" ma:internalName="TaxCatchAll" ma:showField="CatchAllData" ma:web="c56a36b4-67f0-4405-a4e3-75358dfcc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6a36b4-67f0-4405-a4e3-75358dfcc6ae" xsi:nil="true"/>
    <lcf76f155ced4ddcb4097134ff3c332f xmlns="5e7a4d30-5101-493f-ab33-2ee9bb6b4f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3AE17C-5CBC-4684-8521-D53C3E46C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a4d30-5101-493f-ab33-2ee9bb6b4fff"/>
    <ds:schemaRef ds:uri="c56a36b4-67f0-4405-a4e3-75358dfcc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01A5E-B92E-49CF-8F64-B291A2580D57}">
  <ds:schemaRefs>
    <ds:schemaRef ds:uri="http://schemas.microsoft.com/sharepoint/v3/contenttype/forms"/>
  </ds:schemaRefs>
</ds:datastoreItem>
</file>

<file path=customXml/itemProps3.xml><?xml version="1.0" encoding="utf-8"?>
<ds:datastoreItem xmlns:ds="http://schemas.openxmlformats.org/officeDocument/2006/customXml" ds:itemID="{F7554C4E-E0D8-40A9-AF70-F60BF332FBAA}">
  <ds:schemaRefs>
    <ds:schemaRef ds:uri="http://purl.org/dc/dcmitype/"/>
    <ds:schemaRef ds:uri="http://purl.org/dc/terms/"/>
    <ds:schemaRef ds:uri="http://schemas.microsoft.com/office/2006/metadata/properties"/>
    <ds:schemaRef ds:uri="http://schemas.microsoft.com/office/infopath/2007/PartnerControls"/>
    <ds:schemaRef ds:uri="5e7a4d30-5101-493f-ab33-2ee9bb6b4fff"/>
    <ds:schemaRef ds:uri="http://www.w3.org/XML/1998/namespace"/>
    <ds:schemaRef ds:uri="http://purl.org/dc/elements/1.1/"/>
    <ds:schemaRef ds:uri="http://schemas.microsoft.com/office/2006/documentManagement/types"/>
    <ds:schemaRef ds:uri="c56a36b4-67f0-4405-a4e3-75358dfcc6a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Eli Lilly and Company</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Vandenrijn</dc:creator>
  <cp:keywords/>
  <dc:description/>
  <cp:lastModifiedBy>Vanessa Vernimmen</cp:lastModifiedBy>
  <cp:revision>2</cp:revision>
  <dcterms:created xsi:type="dcterms:W3CDTF">2025-07-08T12:22:00Z</dcterms:created>
  <dcterms:modified xsi:type="dcterms:W3CDTF">2025-07-08T12:22:00Z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0x010100B44A90DE1B9FD043A854E63DD3FD858B</vt:lpwstr>
  </property>
  <property fmtid="{D5CDD505-2E9C-101B-9397-08002B2CF9AE}" pid="3" name="MediaServiceImageTags">
    <vt:lpwstr/>
  </property>
</Properties>
</file>