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95B85" w:rsidRPr="00234376" w14:paraId="207E67F7" w14:textId="77777777" w:rsidTr="00EB1133">
        <w:trPr>
          <w:cantSplit/>
          <w:trHeight w:val="110"/>
        </w:trPr>
        <w:tc>
          <w:tcPr>
            <w:tcW w:w="4873" w:type="dxa"/>
          </w:tcPr>
          <w:p w14:paraId="4CA63CFC" w14:textId="77777777" w:rsidR="00295B85" w:rsidRPr="00234376" w:rsidRDefault="00295B85" w:rsidP="00EB1133">
            <w:pPr>
              <w:rPr>
                <w:rFonts w:ascii="Arial" w:hAnsi="Arial" w:cs="Arial"/>
                <w:sz w:val="18"/>
                <w:szCs w:val="18"/>
                <w:lang w:val="nl-BE"/>
              </w:rPr>
            </w:pPr>
            <w:bookmarkStart w:id="0" w:name="_GoBack"/>
            <w:bookmarkEnd w:id="0"/>
          </w:p>
        </w:tc>
      </w:tr>
      <w:tr w:rsidR="00295B85" w:rsidRPr="0003272D" w14:paraId="0D8686AF" w14:textId="77777777" w:rsidTr="00EB1133">
        <w:trPr>
          <w:cantSplit/>
          <w:trHeight w:val="110"/>
        </w:trPr>
        <w:tc>
          <w:tcPr>
            <w:tcW w:w="4873" w:type="dxa"/>
          </w:tcPr>
          <w:p w14:paraId="2C672F18" w14:textId="77777777" w:rsidR="00295B85" w:rsidRPr="00234376" w:rsidRDefault="00295B85" w:rsidP="00EB1133">
            <w:pPr>
              <w:numPr>
                <w:ilvl w:val="0"/>
                <w:numId w:val="4"/>
              </w:numPr>
              <w:ind w:left="284" w:hanging="284"/>
              <w:jc w:val="both"/>
              <w:rPr>
                <w:rFonts w:ascii="Arial" w:eastAsiaTheme="minorHAnsi" w:hAnsi="Arial" w:cs="Arial"/>
                <w:color w:val="000000" w:themeColor="text1"/>
                <w:sz w:val="18"/>
                <w:szCs w:val="18"/>
                <w:lang w:val="fr-BE"/>
              </w:rPr>
            </w:pPr>
            <w:r w:rsidRPr="00234376">
              <w:rPr>
                <w:rFonts w:ascii="Arial" w:eastAsiaTheme="minorHAnsi" w:hAnsi="Arial" w:cs="Arial"/>
                <w:color w:val="000000" w:themeColor="text1"/>
                <w:sz w:val="18"/>
                <w:szCs w:val="18"/>
                <w:lang w:val="fr-BE"/>
              </w:rPr>
              <w:t xml:space="preserve">La spécialité pharmaceutique à base de </w:t>
            </w:r>
            <w:proofErr w:type="spellStart"/>
            <w:r w:rsidRPr="00234376">
              <w:rPr>
                <w:rFonts w:ascii="Arial" w:eastAsiaTheme="minorHAnsi" w:hAnsi="Arial" w:cs="Arial"/>
                <w:color w:val="000000" w:themeColor="text1"/>
                <w:sz w:val="18"/>
                <w:szCs w:val="18"/>
                <w:lang w:val="fr-BE"/>
              </w:rPr>
              <w:t>pirtobrutinib</w:t>
            </w:r>
            <w:proofErr w:type="spellEnd"/>
            <w:r w:rsidRPr="00234376">
              <w:rPr>
                <w:rFonts w:ascii="Arial" w:eastAsiaTheme="minorHAnsi" w:hAnsi="Arial" w:cs="Arial"/>
                <w:color w:val="000000" w:themeColor="text1"/>
                <w:sz w:val="18"/>
                <w:szCs w:val="18"/>
                <w:lang w:val="fr-BE"/>
              </w:rPr>
              <w:t xml:space="preserve">, inscrite dans le présent paragraphe, fait l'objet d'un remboursement en monothérapie si elle est administrée chez des </w:t>
            </w:r>
            <w:proofErr w:type="spellStart"/>
            <w:r w:rsidRPr="00234376">
              <w:rPr>
                <w:rFonts w:ascii="Arial" w:eastAsiaTheme="minorHAnsi" w:hAnsi="Arial" w:cs="Arial"/>
                <w:color w:val="000000" w:themeColor="text1"/>
                <w:sz w:val="18"/>
                <w:szCs w:val="18"/>
                <w:lang w:val="fr-BE"/>
              </w:rPr>
              <w:t>bénéficiares</w:t>
            </w:r>
            <w:proofErr w:type="spellEnd"/>
            <w:r w:rsidRPr="00234376">
              <w:rPr>
                <w:rFonts w:ascii="Arial" w:eastAsiaTheme="minorHAnsi" w:hAnsi="Arial" w:cs="Arial"/>
                <w:color w:val="000000" w:themeColor="text1"/>
                <w:sz w:val="18"/>
                <w:szCs w:val="18"/>
                <w:lang w:val="fr-BE"/>
              </w:rPr>
              <w:t xml:space="preserve"> adultes atteint de lymphome à cellules du manteau (LCM) en rechute ou réfractaire. </w:t>
            </w:r>
          </w:p>
        </w:tc>
      </w:tr>
      <w:tr w:rsidR="00295B85" w:rsidRPr="0003272D" w14:paraId="2BDF3183" w14:textId="77777777" w:rsidTr="00EB1133">
        <w:trPr>
          <w:cantSplit/>
          <w:trHeight w:val="649"/>
        </w:trPr>
        <w:tc>
          <w:tcPr>
            <w:tcW w:w="4873" w:type="dxa"/>
          </w:tcPr>
          <w:p w14:paraId="7CE9AEAE" w14:textId="77777777" w:rsidR="00295B85" w:rsidRPr="00234376" w:rsidRDefault="00295B85" w:rsidP="00EB1133">
            <w:pPr>
              <w:rPr>
                <w:rFonts w:ascii="Arial" w:hAnsi="Arial" w:cs="Arial"/>
                <w:sz w:val="18"/>
                <w:szCs w:val="18"/>
                <w:lang w:val="fr-FR"/>
              </w:rPr>
            </w:pPr>
          </w:p>
        </w:tc>
      </w:tr>
      <w:tr w:rsidR="00295B85" w:rsidRPr="0003272D" w14:paraId="0FB07FFB" w14:textId="77777777" w:rsidTr="00EB1133">
        <w:trPr>
          <w:cantSplit/>
          <w:trHeight w:val="110"/>
        </w:trPr>
        <w:tc>
          <w:tcPr>
            <w:tcW w:w="4873" w:type="dxa"/>
          </w:tcPr>
          <w:p w14:paraId="2C7B4270" w14:textId="77777777" w:rsidR="00295B85" w:rsidRPr="00234376" w:rsidRDefault="00295B85" w:rsidP="00EB1133">
            <w:pPr>
              <w:ind w:left="227"/>
              <w:jc w:val="both"/>
              <w:rPr>
                <w:rFonts w:ascii="Arial" w:hAnsi="Arial" w:cs="Arial"/>
                <w:sz w:val="18"/>
                <w:szCs w:val="18"/>
                <w:lang w:val="fr-FR"/>
              </w:rPr>
            </w:pPr>
            <w:r w:rsidRPr="00234376">
              <w:rPr>
                <w:rFonts w:ascii="Arial" w:hAnsi="Arial" w:cs="Arial"/>
                <w:sz w:val="18"/>
                <w:szCs w:val="18"/>
                <w:lang w:val="fr-BE"/>
              </w:rPr>
              <w:t>Le remboursement est accordé pour autant que le bénéficiaire</w:t>
            </w:r>
          </w:p>
        </w:tc>
      </w:tr>
      <w:tr w:rsidR="00295B85" w:rsidRPr="0003272D" w14:paraId="57FC8587" w14:textId="77777777" w:rsidTr="00EB1133">
        <w:trPr>
          <w:cantSplit/>
          <w:trHeight w:val="110"/>
        </w:trPr>
        <w:tc>
          <w:tcPr>
            <w:tcW w:w="4873" w:type="dxa"/>
          </w:tcPr>
          <w:p w14:paraId="012A89FE" w14:textId="77777777" w:rsidR="00295B85" w:rsidRPr="00234376" w:rsidRDefault="00295B85" w:rsidP="00EB1133">
            <w:pPr>
              <w:rPr>
                <w:rFonts w:ascii="Arial" w:hAnsi="Arial" w:cs="Arial"/>
                <w:sz w:val="18"/>
                <w:szCs w:val="18"/>
                <w:lang w:val="fr-FR"/>
              </w:rPr>
            </w:pPr>
          </w:p>
        </w:tc>
      </w:tr>
      <w:tr w:rsidR="00295B85" w:rsidRPr="0003272D" w14:paraId="1D7DEDCB" w14:textId="77777777" w:rsidTr="00EB1133">
        <w:trPr>
          <w:cantSplit/>
          <w:trHeight w:val="110"/>
        </w:trPr>
        <w:tc>
          <w:tcPr>
            <w:tcW w:w="4873" w:type="dxa"/>
          </w:tcPr>
          <w:p w14:paraId="0D9B64FD" w14:textId="77777777" w:rsidR="00295B85" w:rsidRPr="00234376" w:rsidRDefault="00295B85" w:rsidP="00EB1133">
            <w:pPr>
              <w:numPr>
                <w:ilvl w:val="0"/>
                <w:numId w:val="5"/>
              </w:numPr>
              <w:ind w:left="532" w:hanging="266"/>
              <w:contextualSpacing/>
              <w:jc w:val="both"/>
              <w:rPr>
                <w:rFonts w:ascii="Arial" w:hAnsi="Arial" w:cs="Arial"/>
                <w:sz w:val="18"/>
                <w:szCs w:val="18"/>
                <w:lang w:val="fr-FR"/>
              </w:rPr>
            </w:pPr>
            <w:r w:rsidRPr="00234376">
              <w:rPr>
                <w:rFonts w:ascii="Arial" w:hAnsi="Arial" w:cs="Arial"/>
                <w:sz w:val="18"/>
                <w:szCs w:val="18"/>
                <w:lang w:val="fr-BE"/>
              </w:rPr>
              <w:t>ait reçu un traitement antérieur sur la base d’un inhibiteur de la tyrosine kinase de Bruton (BTK).</w:t>
            </w:r>
          </w:p>
        </w:tc>
      </w:tr>
      <w:tr w:rsidR="00295B85" w:rsidRPr="0003272D" w14:paraId="53964FDA" w14:textId="77777777" w:rsidTr="00EB1133">
        <w:trPr>
          <w:cantSplit/>
          <w:trHeight w:val="110"/>
        </w:trPr>
        <w:tc>
          <w:tcPr>
            <w:tcW w:w="4873" w:type="dxa"/>
          </w:tcPr>
          <w:p w14:paraId="03183AD9" w14:textId="77777777" w:rsidR="00295B85" w:rsidRPr="00234376" w:rsidRDefault="00295B85" w:rsidP="00EB1133">
            <w:pPr>
              <w:rPr>
                <w:rFonts w:ascii="Arial" w:hAnsi="Arial" w:cs="Arial"/>
                <w:sz w:val="18"/>
                <w:szCs w:val="18"/>
                <w:lang w:val="fr-BE"/>
              </w:rPr>
            </w:pPr>
          </w:p>
        </w:tc>
      </w:tr>
      <w:tr w:rsidR="00295B85" w:rsidRPr="0003272D" w14:paraId="47FCEAD0" w14:textId="77777777" w:rsidTr="00EB1133">
        <w:trPr>
          <w:cantSplit/>
          <w:trHeight w:val="110"/>
        </w:trPr>
        <w:tc>
          <w:tcPr>
            <w:tcW w:w="4873" w:type="dxa"/>
          </w:tcPr>
          <w:p w14:paraId="488240CE" w14:textId="77777777" w:rsidR="00295B85" w:rsidRPr="00917212" w:rsidRDefault="00295B85" w:rsidP="00EB1133">
            <w:pPr>
              <w:numPr>
                <w:ilvl w:val="0"/>
                <w:numId w:val="5"/>
              </w:numPr>
              <w:ind w:left="532" w:hanging="266"/>
              <w:contextualSpacing/>
              <w:jc w:val="both"/>
              <w:rPr>
                <w:rFonts w:ascii="Arial" w:hAnsi="Arial" w:cs="Arial"/>
                <w:sz w:val="18"/>
                <w:szCs w:val="18"/>
                <w:lang w:val="fr-FR"/>
              </w:rPr>
            </w:pPr>
            <w:r w:rsidRPr="00917212">
              <w:rPr>
                <w:rFonts w:ascii="Arial" w:hAnsi="Arial" w:cs="Arial"/>
                <w:sz w:val="18"/>
                <w:szCs w:val="18"/>
                <w:lang w:val="fr-FR"/>
              </w:rPr>
              <w:t xml:space="preserve">et </w:t>
            </w:r>
            <w:r w:rsidRPr="00917212">
              <w:rPr>
                <w:rFonts w:ascii="Arial" w:hAnsi="Arial" w:cs="Arial"/>
                <w:sz w:val="18"/>
                <w:szCs w:val="18"/>
                <w:lang w:val="fr-BE"/>
              </w:rPr>
              <w:t>chez qui un traitement ave</w:t>
            </w:r>
            <w:r>
              <w:rPr>
                <w:rFonts w:ascii="Arial" w:hAnsi="Arial" w:cs="Arial"/>
                <w:sz w:val="18"/>
                <w:szCs w:val="18"/>
                <w:lang w:val="fr-BE"/>
              </w:rPr>
              <w:t xml:space="preserve">c </w:t>
            </w:r>
            <w:proofErr w:type="spellStart"/>
            <w:r w:rsidRPr="00917212">
              <w:rPr>
                <w:rFonts w:ascii="Arial" w:hAnsi="Arial" w:cs="Arial"/>
                <w:sz w:val="18"/>
                <w:szCs w:val="18"/>
                <w:lang w:val="fr-BE"/>
              </w:rPr>
              <w:t>brexucabtagene</w:t>
            </w:r>
            <w:proofErr w:type="spellEnd"/>
            <w:r w:rsidRPr="00917212">
              <w:rPr>
                <w:rFonts w:ascii="Arial" w:hAnsi="Arial" w:cs="Arial"/>
                <w:sz w:val="18"/>
                <w:szCs w:val="18"/>
                <w:lang w:val="fr-BE"/>
              </w:rPr>
              <w:t xml:space="preserve"> </w:t>
            </w:r>
            <w:proofErr w:type="spellStart"/>
            <w:r w:rsidRPr="00917212">
              <w:rPr>
                <w:rFonts w:ascii="Arial" w:hAnsi="Arial" w:cs="Arial"/>
                <w:sz w:val="18"/>
                <w:szCs w:val="18"/>
                <w:lang w:val="fr-BE"/>
              </w:rPr>
              <w:t>autoleucel</w:t>
            </w:r>
            <w:proofErr w:type="spellEnd"/>
            <w:r w:rsidRPr="00917212">
              <w:rPr>
                <w:rFonts w:ascii="Arial" w:hAnsi="Arial" w:cs="Arial"/>
                <w:sz w:val="18"/>
                <w:szCs w:val="18"/>
                <w:lang w:val="fr-BE"/>
              </w:rPr>
              <w:t xml:space="preserve"> n’est pas (ou pas encore) possible.</w:t>
            </w:r>
          </w:p>
        </w:tc>
      </w:tr>
      <w:tr w:rsidR="00295B85" w:rsidRPr="0003272D" w14:paraId="583BFFEF" w14:textId="77777777" w:rsidTr="00EB1133">
        <w:trPr>
          <w:cantSplit/>
          <w:trHeight w:val="110"/>
        </w:trPr>
        <w:tc>
          <w:tcPr>
            <w:tcW w:w="4873" w:type="dxa"/>
          </w:tcPr>
          <w:p w14:paraId="4CC90E72" w14:textId="77777777" w:rsidR="00295B85" w:rsidRPr="00234376" w:rsidRDefault="00295B85" w:rsidP="00EB1133">
            <w:pPr>
              <w:rPr>
                <w:rFonts w:ascii="Arial" w:hAnsi="Arial" w:cs="Arial"/>
                <w:sz w:val="18"/>
                <w:szCs w:val="18"/>
                <w:lang w:val="fr-FR"/>
              </w:rPr>
            </w:pPr>
          </w:p>
        </w:tc>
      </w:tr>
      <w:tr w:rsidR="00295B85" w:rsidRPr="0003272D" w14:paraId="69DCDF79" w14:textId="77777777" w:rsidTr="00EB1133">
        <w:trPr>
          <w:cantSplit/>
          <w:trHeight w:val="110"/>
        </w:trPr>
        <w:tc>
          <w:tcPr>
            <w:tcW w:w="4873" w:type="dxa"/>
          </w:tcPr>
          <w:p w14:paraId="10D64978" w14:textId="77777777" w:rsidR="00295B85" w:rsidRPr="00234376" w:rsidRDefault="00295B85" w:rsidP="00EB1133">
            <w:pPr>
              <w:ind w:left="227" w:hanging="227"/>
              <w:jc w:val="both"/>
              <w:rPr>
                <w:rFonts w:ascii="Arial" w:eastAsiaTheme="minorHAnsi" w:hAnsi="Arial" w:cs="Arial"/>
                <w:color w:val="000000" w:themeColor="text1"/>
                <w:sz w:val="18"/>
                <w:szCs w:val="18"/>
                <w:lang w:val="fr-BE"/>
              </w:rPr>
            </w:pPr>
            <w:r w:rsidRPr="00234376">
              <w:rPr>
                <w:rFonts w:ascii="Arial" w:eastAsiaTheme="minorHAnsi" w:hAnsi="Arial" w:cs="Arial"/>
                <w:color w:val="000000" w:themeColor="text1"/>
                <w:sz w:val="18"/>
                <w:szCs w:val="18"/>
                <w:lang w:val="fr-BE"/>
              </w:rPr>
              <w:t>a') Mesure transitoire : pour les bénéficiaire qui ont déjà été traités par  avec des conditionnements non-remboursables de cette spécialité pharmaceutique</w:t>
            </w:r>
            <w:r>
              <w:rPr>
                <w:rFonts w:ascii="Arial" w:eastAsiaTheme="minorHAnsi" w:hAnsi="Arial" w:cs="Arial"/>
                <w:color w:val="000000" w:themeColor="text1"/>
                <w:sz w:val="18"/>
                <w:szCs w:val="18"/>
                <w:lang w:val="fr-BE"/>
              </w:rPr>
              <w:t xml:space="preserve"> avant le 01.12.2024</w:t>
            </w:r>
            <w:r w:rsidRPr="00234376">
              <w:rPr>
                <w:rFonts w:ascii="Arial" w:eastAsiaTheme="minorHAnsi" w:hAnsi="Arial" w:cs="Arial"/>
                <w:color w:val="000000" w:themeColor="text1"/>
                <w:sz w:val="18"/>
                <w:szCs w:val="18"/>
                <w:lang w:val="fr-BE"/>
              </w:rPr>
              <w:t xml:space="preserve"> dans le cadre d’un Programme d’Usage Compassionnel (CUP)  et qui correspondait aux conditions figurant au point a) avant le début du traitement., le remboursement de ce traitement peut être accordé selon les modalités figurant au point e). La procédure de remboursement faisant suite à un traitement initié dans le cadre d’un Programme d’Usage Compassionnel est valable pour une période transitoire de 6 moins à compter de l’entrée en vigueur du présent paragraphe.</w:t>
            </w:r>
          </w:p>
          <w:p w14:paraId="07CD4BAD" w14:textId="77777777" w:rsidR="00295B85" w:rsidRPr="00234376" w:rsidRDefault="00295B85" w:rsidP="00EB1133">
            <w:pPr>
              <w:ind w:left="227" w:hanging="227"/>
              <w:jc w:val="both"/>
              <w:rPr>
                <w:rFonts w:ascii="Arial" w:hAnsi="Arial" w:cs="Arial"/>
                <w:sz w:val="18"/>
                <w:szCs w:val="18"/>
                <w:lang w:val="fr-BE"/>
              </w:rPr>
            </w:pPr>
          </w:p>
        </w:tc>
      </w:tr>
      <w:tr w:rsidR="00295B85" w:rsidRPr="0003272D" w14:paraId="1F99FFD3" w14:textId="77777777" w:rsidTr="00EB1133">
        <w:trPr>
          <w:cantSplit/>
          <w:trHeight w:val="110"/>
        </w:trPr>
        <w:tc>
          <w:tcPr>
            <w:tcW w:w="4873" w:type="dxa"/>
          </w:tcPr>
          <w:p w14:paraId="59760490" w14:textId="77777777" w:rsidR="00295B85" w:rsidRPr="00234376" w:rsidRDefault="00295B85" w:rsidP="00EB1133">
            <w:pPr>
              <w:rPr>
                <w:rFonts w:ascii="Arial" w:hAnsi="Arial" w:cs="Arial"/>
                <w:sz w:val="18"/>
                <w:szCs w:val="18"/>
                <w:lang w:val="fr-FR"/>
              </w:rPr>
            </w:pPr>
          </w:p>
        </w:tc>
      </w:tr>
      <w:tr w:rsidR="00295B85" w:rsidRPr="0003272D" w14:paraId="54A2B532" w14:textId="77777777" w:rsidTr="00EB1133">
        <w:trPr>
          <w:cantSplit/>
          <w:trHeight w:val="110"/>
        </w:trPr>
        <w:tc>
          <w:tcPr>
            <w:tcW w:w="4873" w:type="dxa"/>
          </w:tcPr>
          <w:p w14:paraId="71F810A0" w14:textId="77777777" w:rsidR="00295B85" w:rsidRPr="00234376" w:rsidRDefault="00295B85" w:rsidP="00EB1133">
            <w:pPr>
              <w:numPr>
                <w:ilvl w:val="0"/>
                <w:numId w:val="3"/>
              </w:numPr>
              <w:ind w:left="227" w:hanging="227"/>
              <w:contextualSpacing/>
              <w:jc w:val="both"/>
              <w:rPr>
                <w:rFonts w:ascii="Arial" w:hAnsi="Arial" w:cs="Arial"/>
                <w:sz w:val="18"/>
                <w:szCs w:val="18"/>
                <w:lang w:val="fr-FR"/>
              </w:rPr>
            </w:pPr>
            <w:r w:rsidRPr="00234376">
              <w:rPr>
                <w:rFonts w:ascii="Arial" w:hAnsi="Arial" w:cs="Arial"/>
                <w:sz w:val="18"/>
                <w:szCs w:val="18"/>
                <w:lang w:val="fr-BE"/>
              </w:rPr>
              <w:t>Le nombre de conditionnements remboursables tiendra compte d’une posologie journalière maximale de 200 mg par jour.</w:t>
            </w:r>
          </w:p>
        </w:tc>
      </w:tr>
      <w:tr w:rsidR="00295B85" w:rsidRPr="0003272D" w14:paraId="1823A789" w14:textId="77777777" w:rsidTr="00EB1133">
        <w:trPr>
          <w:cantSplit/>
          <w:trHeight w:val="110"/>
        </w:trPr>
        <w:tc>
          <w:tcPr>
            <w:tcW w:w="4873" w:type="dxa"/>
          </w:tcPr>
          <w:p w14:paraId="010E2EBD" w14:textId="77777777" w:rsidR="00295B85" w:rsidRPr="00234376" w:rsidRDefault="00295B85" w:rsidP="00EB1133">
            <w:pPr>
              <w:rPr>
                <w:rFonts w:ascii="Arial" w:hAnsi="Arial" w:cs="Arial"/>
                <w:sz w:val="18"/>
                <w:szCs w:val="18"/>
                <w:lang w:val="fr-FR"/>
              </w:rPr>
            </w:pPr>
          </w:p>
        </w:tc>
      </w:tr>
      <w:tr w:rsidR="00295B85" w:rsidRPr="0003272D" w14:paraId="657354AB" w14:textId="77777777" w:rsidTr="00EB1133">
        <w:trPr>
          <w:cantSplit/>
          <w:trHeight w:val="110"/>
        </w:trPr>
        <w:tc>
          <w:tcPr>
            <w:tcW w:w="4873" w:type="dxa"/>
          </w:tcPr>
          <w:p w14:paraId="2ADEDFF4" w14:textId="77777777" w:rsidR="00295B85" w:rsidRPr="00234376" w:rsidRDefault="00295B85" w:rsidP="00EB1133">
            <w:pPr>
              <w:numPr>
                <w:ilvl w:val="0"/>
                <w:numId w:val="4"/>
              </w:numPr>
              <w:ind w:left="227" w:hanging="227"/>
              <w:jc w:val="both"/>
              <w:rPr>
                <w:rFonts w:ascii="Arial" w:eastAsiaTheme="minorHAnsi" w:hAnsi="Arial" w:cs="Arial"/>
                <w:color w:val="000000" w:themeColor="text1"/>
                <w:sz w:val="18"/>
                <w:szCs w:val="18"/>
                <w:lang w:val="fr-BE"/>
              </w:rPr>
            </w:pPr>
            <w:r w:rsidRPr="00234376">
              <w:rPr>
                <w:rFonts w:ascii="Arial" w:eastAsiaTheme="minorHAnsi" w:hAnsi="Arial" w:cs="Arial"/>
                <w:color w:val="000000" w:themeColor="text1"/>
                <w:sz w:val="18"/>
                <w:szCs w:val="18"/>
                <w:lang w:val="fr-BE"/>
              </w:rPr>
              <w:t>Le remboursement de la spécialité pharmaceutique concernée peut être autorisé que si cette spécialité est prescrite par un médecin spécialiste responsable du traitement et accrédité en médecine interne, titulaire du titre professionnel spécial en hématologie clinique sur la base de l'arrêté ministériel du 18.10.2002 fixant les critères particuliers de reconnaissance des médecins spécialistes, des titulaires du titre professionnel spécial en hématologie clinique ainsi que des maîtres de stage et des services stagiaires en hématologie clinique.</w:t>
            </w:r>
          </w:p>
          <w:p w14:paraId="434266EC" w14:textId="77777777" w:rsidR="00295B85" w:rsidRPr="00234376" w:rsidRDefault="00295B85" w:rsidP="00EB1133">
            <w:pPr>
              <w:rPr>
                <w:rFonts w:ascii="Arial" w:hAnsi="Arial" w:cs="Arial"/>
                <w:sz w:val="18"/>
                <w:szCs w:val="18"/>
                <w:lang w:val="fr-BE"/>
              </w:rPr>
            </w:pPr>
          </w:p>
        </w:tc>
      </w:tr>
      <w:tr w:rsidR="00295B85" w:rsidRPr="0003272D" w14:paraId="2BCE7D33" w14:textId="77777777" w:rsidTr="00EB1133">
        <w:trPr>
          <w:cantSplit/>
          <w:trHeight w:val="110"/>
        </w:trPr>
        <w:tc>
          <w:tcPr>
            <w:tcW w:w="4873" w:type="dxa"/>
          </w:tcPr>
          <w:p w14:paraId="1484200E" w14:textId="77777777" w:rsidR="00295B85" w:rsidRPr="00234376" w:rsidRDefault="00295B85" w:rsidP="00EB1133">
            <w:pPr>
              <w:rPr>
                <w:rFonts w:ascii="Arial" w:hAnsi="Arial" w:cs="Arial"/>
                <w:sz w:val="18"/>
                <w:szCs w:val="18"/>
                <w:lang w:val="fr-FR"/>
              </w:rPr>
            </w:pPr>
          </w:p>
        </w:tc>
      </w:tr>
      <w:tr w:rsidR="00295B85" w:rsidRPr="0003272D" w14:paraId="118DEDAB" w14:textId="77777777" w:rsidTr="00EB1133">
        <w:trPr>
          <w:cantSplit/>
          <w:trHeight w:val="110"/>
        </w:trPr>
        <w:tc>
          <w:tcPr>
            <w:tcW w:w="4873" w:type="dxa"/>
          </w:tcPr>
          <w:p w14:paraId="2BA5C547" w14:textId="77777777" w:rsidR="00295B85" w:rsidRPr="00234376" w:rsidRDefault="00295B85" w:rsidP="00EB1133">
            <w:pPr>
              <w:numPr>
                <w:ilvl w:val="0"/>
                <w:numId w:val="3"/>
              </w:numPr>
              <w:ind w:left="227" w:hanging="227"/>
              <w:jc w:val="both"/>
              <w:rPr>
                <w:rFonts w:ascii="Arial" w:eastAsiaTheme="minorHAnsi" w:hAnsi="Arial" w:cs="Arial"/>
                <w:color w:val="000000" w:themeColor="text1"/>
                <w:sz w:val="18"/>
                <w:szCs w:val="18"/>
                <w:lang w:val="fr-BE"/>
              </w:rPr>
            </w:pPr>
            <w:r w:rsidRPr="00234376">
              <w:rPr>
                <w:rFonts w:ascii="Arial" w:eastAsiaTheme="minorHAnsi" w:hAnsi="Arial" w:cs="Arial"/>
                <w:color w:val="000000" w:themeColor="text1"/>
                <w:sz w:val="18"/>
                <w:szCs w:val="18"/>
                <w:lang w:val="fr-BE"/>
              </w:rPr>
              <w:t>Ce traitement n’est remboursé que s’il a été approuvé, préalablement à son initiation, lors d’une consultation oncologique multidisciplinaire (COM), dont le médecin spécialiste décrit au point c) conserve le rapport dans son dossier.</w:t>
            </w:r>
          </w:p>
        </w:tc>
      </w:tr>
      <w:tr w:rsidR="00295B85" w:rsidRPr="0003272D" w14:paraId="0B03A42E" w14:textId="77777777" w:rsidTr="00EB1133">
        <w:trPr>
          <w:cantSplit/>
          <w:trHeight w:val="110"/>
        </w:trPr>
        <w:tc>
          <w:tcPr>
            <w:tcW w:w="4873" w:type="dxa"/>
          </w:tcPr>
          <w:p w14:paraId="0CE3676E" w14:textId="77777777" w:rsidR="00295B85" w:rsidRPr="00234376" w:rsidRDefault="00295B85" w:rsidP="00EB1133">
            <w:pPr>
              <w:rPr>
                <w:rFonts w:ascii="Arial" w:hAnsi="Arial" w:cs="Arial"/>
                <w:sz w:val="18"/>
                <w:szCs w:val="18"/>
                <w:lang w:val="fr-FR"/>
              </w:rPr>
            </w:pPr>
          </w:p>
        </w:tc>
      </w:tr>
      <w:tr w:rsidR="00295B85" w:rsidRPr="0003272D" w14:paraId="14F77A26" w14:textId="77777777" w:rsidTr="00EB1133">
        <w:trPr>
          <w:cantSplit/>
          <w:trHeight w:val="110"/>
        </w:trPr>
        <w:tc>
          <w:tcPr>
            <w:tcW w:w="4873" w:type="dxa"/>
          </w:tcPr>
          <w:p w14:paraId="25BE3B8D" w14:textId="77777777" w:rsidR="00295B85" w:rsidRPr="00234376" w:rsidRDefault="00295B85" w:rsidP="00EB1133">
            <w:pPr>
              <w:numPr>
                <w:ilvl w:val="0"/>
                <w:numId w:val="3"/>
              </w:numPr>
              <w:ind w:left="227" w:hanging="227"/>
              <w:jc w:val="both"/>
              <w:rPr>
                <w:rFonts w:ascii="Arial" w:eastAsiaTheme="minorHAnsi" w:hAnsi="Arial" w:cs="Arial"/>
                <w:color w:val="000000" w:themeColor="text1"/>
                <w:sz w:val="18"/>
                <w:szCs w:val="18"/>
                <w:lang w:val="fr-BE"/>
              </w:rPr>
            </w:pPr>
            <w:r w:rsidRPr="00234376">
              <w:rPr>
                <w:rFonts w:ascii="Arial" w:eastAsiaTheme="minorHAnsi" w:hAnsi="Arial" w:cs="Arial"/>
                <w:color w:val="000000" w:themeColor="text1"/>
                <w:sz w:val="18"/>
                <w:szCs w:val="18"/>
                <w:lang w:val="fr-BE"/>
              </w:rPr>
              <w:t>Le remboursement peut être accordé sur base d’une demande de remboursement électronique introduite par le médecin spécialiste identifié et authentifié par la plateforme e-</w:t>
            </w:r>
            <w:proofErr w:type="spellStart"/>
            <w:r w:rsidRPr="00234376">
              <w:rPr>
                <w:rFonts w:ascii="Arial" w:eastAsiaTheme="minorHAnsi" w:hAnsi="Arial" w:cs="Arial"/>
                <w:color w:val="000000" w:themeColor="text1"/>
                <w:sz w:val="18"/>
                <w:szCs w:val="18"/>
                <w:lang w:val="fr-BE"/>
              </w:rPr>
              <w:t>Health</w:t>
            </w:r>
            <w:proofErr w:type="spellEnd"/>
            <w:r w:rsidRPr="00234376">
              <w:rPr>
                <w:rFonts w:ascii="Arial" w:eastAsiaTheme="minorHAnsi" w:hAnsi="Arial" w:cs="Arial"/>
                <w:color w:val="000000" w:themeColor="text1"/>
                <w:sz w:val="18"/>
                <w:szCs w:val="18"/>
                <w:lang w:val="fr-BE"/>
              </w:rPr>
              <w:t xml:space="preserve">, décrit sous c), qui ainsi atteste : </w:t>
            </w:r>
          </w:p>
          <w:p w14:paraId="0DFF449A" w14:textId="77777777" w:rsidR="00295B85" w:rsidRPr="00234376" w:rsidRDefault="00295B85" w:rsidP="00EB1133">
            <w:pPr>
              <w:jc w:val="both"/>
              <w:rPr>
                <w:rFonts w:ascii="Arial" w:eastAsiaTheme="minorHAnsi" w:hAnsi="Arial" w:cs="Arial"/>
                <w:color w:val="000000" w:themeColor="text1"/>
                <w:sz w:val="18"/>
                <w:szCs w:val="18"/>
                <w:lang w:val="fr-BE"/>
              </w:rPr>
            </w:pPr>
          </w:p>
        </w:tc>
      </w:tr>
      <w:tr w:rsidR="00295B85" w:rsidRPr="0003272D" w14:paraId="612A2887" w14:textId="77777777" w:rsidTr="00EB1133">
        <w:trPr>
          <w:cantSplit/>
          <w:trHeight w:val="179"/>
        </w:trPr>
        <w:tc>
          <w:tcPr>
            <w:tcW w:w="4873" w:type="dxa"/>
          </w:tcPr>
          <w:p w14:paraId="7515D21A" w14:textId="77777777" w:rsidR="00295B85" w:rsidRPr="00234376" w:rsidRDefault="00295B85" w:rsidP="00EB1133">
            <w:pPr>
              <w:rPr>
                <w:rFonts w:ascii="Arial" w:hAnsi="Arial" w:cs="Arial"/>
                <w:sz w:val="18"/>
                <w:szCs w:val="18"/>
                <w:lang w:val="fr-FR"/>
              </w:rPr>
            </w:pPr>
          </w:p>
        </w:tc>
      </w:tr>
      <w:tr w:rsidR="00295B85" w:rsidRPr="0003272D" w14:paraId="23DA3899" w14:textId="77777777" w:rsidTr="00EB1133">
        <w:trPr>
          <w:cantSplit/>
          <w:trHeight w:val="110"/>
        </w:trPr>
        <w:tc>
          <w:tcPr>
            <w:tcW w:w="4873" w:type="dxa"/>
          </w:tcPr>
          <w:p w14:paraId="2961B144" w14:textId="77777777" w:rsidR="00295B85" w:rsidRPr="00234376" w:rsidRDefault="00295B85" w:rsidP="00EB1133">
            <w:pPr>
              <w:numPr>
                <w:ilvl w:val="0"/>
                <w:numId w:val="1"/>
              </w:numPr>
              <w:ind w:left="532" w:hanging="266"/>
              <w:jc w:val="both"/>
              <w:rPr>
                <w:rFonts w:ascii="Arial" w:eastAsiaTheme="minorHAnsi" w:hAnsi="Arial" w:cs="Arial"/>
                <w:color w:val="000000" w:themeColor="text1"/>
                <w:sz w:val="18"/>
                <w:szCs w:val="18"/>
                <w:lang w:val="fr-BE"/>
              </w:rPr>
            </w:pPr>
            <w:r w:rsidRPr="00234376">
              <w:rPr>
                <w:rFonts w:ascii="Arial" w:eastAsiaTheme="minorHAnsi" w:hAnsi="Arial" w:cs="Arial"/>
                <w:color w:val="000000" w:themeColor="text1"/>
                <w:sz w:val="18"/>
                <w:szCs w:val="18"/>
                <w:lang w:val="fr-BE"/>
              </w:rPr>
              <w:t>que toutes les conditions figurant au point a) sont remplies;</w:t>
            </w:r>
          </w:p>
        </w:tc>
      </w:tr>
      <w:tr w:rsidR="00295B85" w:rsidRPr="0003272D" w14:paraId="4F01132B" w14:textId="77777777" w:rsidTr="00EB1133">
        <w:trPr>
          <w:cantSplit/>
          <w:trHeight w:val="110"/>
        </w:trPr>
        <w:tc>
          <w:tcPr>
            <w:tcW w:w="4873" w:type="dxa"/>
          </w:tcPr>
          <w:p w14:paraId="05BA1695" w14:textId="77777777" w:rsidR="00295B85" w:rsidRPr="00234376" w:rsidRDefault="00295B85" w:rsidP="00EB1133">
            <w:pPr>
              <w:jc w:val="both"/>
              <w:rPr>
                <w:rFonts w:ascii="Arial" w:eastAsiaTheme="minorHAnsi" w:hAnsi="Arial" w:cs="Arial"/>
                <w:color w:val="000000" w:themeColor="text1"/>
                <w:sz w:val="18"/>
                <w:szCs w:val="18"/>
                <w:lang w:val="fr-BE"/>
              </w:rPr>
            </w:pPr>
          </w:p>
        </w:tc>
      </w:tr>
      <w:tr w:rsidR="00295B85" w:rsidRPr="0003272D" w14:paraId="6549247A" w14:textId="77777777" w:rsidTr="00EB1133">
        <w:trPr>
          <w:cantSplit/>
          <w:trHeight w:val="110"/>
        </w:trPr>
        <w:tc>
          <w:tcPr>
            <w:tcW w:w="4873" w:type="dxa"/>
          </w:tcPr>
          <w:p w14:paraId="77492592" w14:textId="77777777" w:rsidR="00295B85" w:rsidRPr="00234376" w:rsidRDefault="00295B85" w:rsidP="00EB1133">
            <w:pPr>
              <w:numPr>
                <w:ilvl w:val="0"/>
                <w:numId w:val="1"/>
              </w:numPr>
              <w:ind w:left="532" w:hanging="266"/>
              <w:jc w:val="both"/>
              <w:rPr>
                <w:rFonts w:ascii="Arial" w:eastAsiaTheme="minorHAnsi" w:hAnsi="Arial" w:cs="Arial"/>
                <w:color w:val="000000" w:themeColor="text1"/>
                <w:sz w:val="18"/>
                <w:szCs w:val="18"/>
                <w:lang w:val="fr-BE"/>
              </w:rPr>
            </w:pPr>
            <w:r w:rsidRPr="00234376">
              <w:rPr>
                <w:rFonts w:ascii="Arial" w:eastAsiaTheme="minorHAnsi" w:hAnsi="Arial" w:cs="Arial"/>
                <w:color w:val="000000" w:themeColor="text1"/>
                <w:sz w:val="18"/>
                <w:szCs w:val="18"/>
                <w:lang w:val="fr-BE"/>
              </w:rPr>
              <w:t>s’engager à tenir à la disposition du médecin-conseil les éléments de preuve confirmant les éléments attestés;</w:t>
            </w:r>
          </w:p>
          <w:p w14:paraId="4C3340C8" w14:textId="77777777" w:rsidR="00295B85" w:rsidRPr="00234376" w:rsidRDefault="00295B85" w:rsidP="00EB1133">
            <w:pPr>
              <w:ind w:left="532" w:hanging="266"/>
              <w:jc w:val="both"/>
              <w:rPr>
                <w:rFonts w:ascii="Arial" w:eastAsiaTheme="minorHAnsi" w:hAnsi="Arial" w:cs="Arial"/>
                <w:color w:val="000000" w:themeColor="text1"/>
                <w:sz w:val="18"/>
                <w:szCs w:val="18"/>
                <w:lang w:val="fr-BE"/>
              </w:rPr>
            </w:pPr>
          </w:p>
        </w:tc>
      </w:tr>
      <w:tr w:rsidR="00295B85" w:rsidRPr="0003272D" w14:paraId="78A01B58" w14:textId="77777777" w:rsidTr="00EB1133">
        <w:trPr>
          <w:cantSplit/>
          <w:trHeight w:val="110"/>
        </w:trPr>
        <w:tc>
          <w:tcPr>
            <w:tcW w:w="4873" w:type="dxa"/>
          </w:tcPr>
          <w:p w14:paraId="420944C5" w14:textId="77777777" w:rsidR="00295B85" w:rsidRPr="00234376" w:rsidRDefault="00295B85" w:rsidP="00EB1133">
            <w:pPr>
              <w:jc w:val="both"/>
              <w:rPr>
                <w:rFonts w:ascii="Arial" w:eastAsiaTheme="minorHAnsi" w:hAnsi="Arial" w:cs="Arial"/>
                <w:color w:val="000000" w:themeColor="text1"/>
                <w:sz w:val="18"/>
                <w:szCs w:val="18"/>
                <w:lang w:val="fr-BE"/>
              </w:rPr>
            </w:pPr>
          </w:p>
        </w:tc>
      </w:tr>
      <w:tr w:rsidR="00295B85" w:rsidRPr="0003272D" w14:paraId="659769F0" w14:textId="77777777" w:rsidTr="00EB1133">
        <w:trPr>
          <w:cantSplit/>
          <w:trHeight w:val="110"/>
        </w:trPr>
        <w:tc>
          <w:tcPr>
            <w:tcW w:w="4873" w:type="dxa"/>
          </w:tcPr>
          <w:p w14:paraId="314600BF" w14:textId="77777777" w:rsidR="00295B85" w:rsidRPr="00234376" w:rsidRDefault="00295B85" w:rsidP="00EB1133">
            <w:pPr>
              <w:numPr>
                <w:ilvl w:val="0"/>
                <w:numId w:val="2"/>
              </w:numPr>
              <w:ind w:left="579" w:hanging="142"/>
              <w:jc w:val="both"/>
              <w:rPr>
                <w:rFonts w:ascii="Arial" w:eastAsiaTheme="minorHAnsi" w:hAnsi="Arial" w:cs="Arial"/>
                <w:color w:val="000000" w:themeColor="text1"/>
                <w:sz w:val="18"/>
                <w:szCs w:val="18"/>
                <w:lang w:val="fr-BE"/>
              </w:rPr>
            </w:pPr>
            <w:r w:rsidRPr="00234376">
              <w:rPr>
                <w:rFonts w:ascii="Arial" w:eastAsiaTheme="minorHAnsi" w:hAnsi="Arial" w:cs="Arial"/>
                <w:color w:val="000000" w:themeColor="text1"/>
                <w:sz w:val="18"/>
                <w:szCs w:val="18"/>
                <w:lang w:val="fr-BE"/>
              </w:rPr>
              <w:t>disposer dans le dossier médical du rapport de la consultation oncologique multidisciplinaire (COM) marquant l’accord pour le traitement pour lequel le remboursement est demandé;</w:t>
            </w:r>
          </w:p>
        </w:tc>
      </w:tr>
      <w:tr w:rsidR="00295B85" w:rsidRPr="0003272D" w14:paraId="226C2BB8" w14:textId="77777777" w:rsidTr="00EB1133">
        <w:trPr>
          <w:cantSplit/>
          <w:trHeight w:val="110"/>
        </w:trPr>
        <w:tc>
          <w:tcPr>
            <w:tcW w:w="4873" w:type="dxa"/>
          </w:tcPr>
          <w:p w14:paraId="7CC8121F" w14:textId="77777777" w:rsidR="00295B85" w:rsidRPr="00234376" w:rsidRDefault="00295B85" w:rsidP="00EB1133">
            <w:pPr>
              <w:jc w:val="both"/>
              <w:rPr>
                <w:rFonts w:ascii="Arial" w:eastAsiaTheme="minorHAnsi" w:hAnsi="Arial" w:cs="Arial"/>
                <w:color w:val="000000" w:themeColor="text1"/>
                <w:sz w:val="18"/>
                <w:szCs w:val="18"/>
                <w:lang w:val="fr-BE"/>
              </w:rPr>
            </w:pPr>
          </w:p>
        </w:tc>
      </w:tr>
      <w:tr w:rsidR="00295B85" w:rsidRPr="0003272D" w14:paraId="03D2E0AE" w14:textId="77777777" w:rsidTr="00EB1133">
        <w:trPr>
          <w:cantSplit/>
          <w:trHeight w:val="110"/>
        </w:trPr>
        <w:tc>
          <w:tcPr>
            <w:tcW w:w="4873" w:type="dxa"/>
          </w:tcPr>
          <w:p w14:paraId="2AD60072" w14:textId="77777777" w:rsidR="00295B85" w:rsidRPr="00234376" w:rsidRDefault="00295B85" w:rsidP="00EB1133">
            <w:pPr>
              <w:numPr>
                <w:ilvl w:val="0"/>
                <w:numId w:val="2"/>
              </w:numPr>
              <w:ind w:left="579" w:hanging="142"/>
              <w:jc w:val="both"/>
              <w:rPr>
                <w:rFonts w:ascii="Arial" w:eastAsiaTheme="minorHAnsi" w:hAnsi="Arial" w:cs="Arial"/>
                <w:color w:val="000000" w:themeColor="text1"/>
                <w:sz w:val="18"/>
                <w:szCs w:val="18"/>
                <w:lang w:val="fr-BE"/>
              </w:rPr>
            </w:pPr>
            <w:r w:rsidRPr="00234376">
              <w:rPr>
                <w:rFonts w:ascii="Arial" w:eastAsiaTheme="minorHAnsi" w:hAnsi="Arial" w:cs="Arial"/>
                <w:color w:val="000000" w:themeColor="text1"/>
                <w:sz w:val="18"/>
                <w:szCs w:val="18"/>
                <w:lang w:val="fr-BE"/>
              </w:rPr>
              <w:t>savoir que le nombre de conditionnements remboursables tient compte d’une posologie journalière maximale de 200 mg par jour;</w:t>
            </w:r>
          </w:p>
          <w:p w14:paraId="6EDBDDA4" w14:textId="77777777" w:rsidR="00295B85" w:rsidRPr="00234376" w:rsidRDefault="00295B85" w:rsidP="00EB1133">
            <w:pPr>
              <w:ind w:left="579" w:hanging="142"/>
              <w:jc w:val="both"/>
              <w:rPr>
                <w:rFonts w:ascii="Arial" w:hAnsi="Arial" w:cs="Arial"/>
                <w:sz w:val="18"/>
                <w:szCs w:val="18"/>
                <w:lang w:val="fr-FR"/>
              </w:rPr>
            </w:pPr>
          </w:p>
        </w:tc>
      </w:tr>
      <w:tr w:rsidR="00295B85" w:rsidRPr="0003272D" w14:paraId="0AEBF018" w14:textId="77777777" w:rsidTr="00EB1133">
        <w:trPr>
          <w:cantSplit/>
          <w:trHeight w:val="110"/>
        </w:trPr>
        <w:tc>
          <w:tcPr>
            <w:tcW w:w="4873" w:type="dxa"/>
          </w:tcPr>
          <w:p w14:paraId="4C022FAD" w14:textId="77777777" w:rsidR="00295B85" w:rsidRPr="00234376" w:rsidRDefault="00295B85" w:rsidP="00EB1133">
            <w:pPr>
              <w:rPr>
                <w:rFonts w:ascii="Arial" w:hAnsi="Arial" w:cs="Arial"/>
                <w:sz w:val="18"/>
                <w:szCs w:val="18"/>
                <w:lang w:val="fr-FR"/>
              </w:rPr>
            </w:pPr>
          </w:p>
        </w:tc>
      </w:tr>
      <w:tr w:rsidR="00295B85" w:rsidRPr="0003272D" w14:paraId="550BA8AA" w14:textId="77777777" w:rsidTr="00EB1133">
        <w:trPr>
          <w:cantSplit/>
          <w:trHeight w:val="110"/>
        </w:trPr>
        <w:tc>
          <w:tcPr>
            <w:tcW w:w="4873" w:type="dxa"/>
          </w:tcPr>
          <w:p w14:paraId="18667FF2" w14:textId="77777777" w:rsidR="00295B85" w:rsidRPr="00234376" w:rsidRDefault="00295B85" w:rsidP="00EB1133">
            <w:pPr>
              <w:numPr>
                <w:ilvl w:val="0"/>
                <w:numId w:val="2"/>
              </w:numPr>
              <w:ind w:left="579" w:hanging="142"/>
              <w:jc w:val="both"/>
              <w:rPr>
                <w:rFonts w:ascii="Arial" w:eastAsiaTheme="minorHAnsi" w:hAnsi="Arial" w:cs="Arial"/>
                <w:color w:val="000000" w:themeColor="text1"/>
                <w:sz w:val="18"/>
                <w:szCs w:val="18"/>
                <w:lang w:val="fr-BE"/>
              </w:rPr>
            </w:pPr>
            <w:r w:rsidRPr="00234376">
              <w:rPr>
                <w:rFonts w:ascii="Arial" w:eastAsiaTheme="minorHAnsi" w:hAnsi="Arial" w:cs="Arial"/>
                <w:color w:val="000000" w:themeColor="text1"/>
                <w:sz w:val="18"/>
                <w:szCs w:val="18"/>
                <w:lang w:val="fr-BE"/>
              </w:rPr>
              <w:t>savoir que le traitement n’est plus remboursable en cas de constatation d’une progression de la maladie selon les critères les plus récents du groupe de travail international pour lymphomes non-Hodgkiniens, malgré le traitement.</w:t>
            </w:r>
          </w:p>
          <w:p w14:paraId="2F47155F" w14:textId="77777777" w:rsidR="00295B85" w:rsidRPr="00234376" w:rsidRDefault="00295B85" w:rsidP="00EB1133">
            <w:pPr>
              <w:ind w:left="579" w:hanging="142"/>
              <w:jc w:val="both"/>
              <w:rPr>
                <w:rFonts w:ascii="Arial" w:hAnsi="Arial" w:cs="Arial"/>
                <w:sz w:val="18"/>
                <w:szCs w:val="18"/>
                <w:lang w:val="fr-FR"/>
              </w:rPr>
            </w:pPr>
          </w:p>
        </w:tc>
      </w:tr>
      <w:tr w:rsidR="00295B85" w:rsidRPr="0003272D" w14:paraId="62A1E1F7" w14:textId="77777777" w:rsidTr="00EB1133">
        <w:trPr>
          <w:cantSplit/>
          <w:trHeight w:val="110"/>
        </w:trPr>
        <w:tc>
          <w:tcPr>
            <w:tcW w:w="4873" w:type="dxa"/>
          </w:tcPr>
          <w:p w14:paraId="3B5262B7" w14:textId="77777777" w:rsidR="00295B85" w:rsidRPr="00234376" w:rsidRDefault="00295B85" w:rsidP="00EB1133">
            <w:pPr>
              <w:rPr>
                <w:rFonts w:ascii="Arial" w:hAnsi="Arial" w:cs="Arial"/>
                <w:sz w:val="18"/>
                <w:szCs w:val="18"/>
                <w:lang w:val="fr-FR"/>
              </w:rPr>
            </w:pPr>
          </w:p>
        </w:tc>
      </w:tr>
      <w:tr w:rsidR="00295B85" w:rsidRPr="0003272D" w14:paraId="3AC550DA" w14:textId="77777777" w:rsidTr="00EB1133">
        <w:trPr>
          <w:cantSplit/>
          <w:trHeight w:val="110"/>
        </w:trPr>
        <w:tc>
          <w:tcPr>
            <w:tcW w:w="4873" w:type="dxa"/>
          </w:tcPr>
          <w:p w14:paraId="7766B89D" w14:textId="77777777" w:rsidR="00295B85" w:rsidRPr="00234376" w:rsidRDefault="00295B85" w:rsidP="00EB1133">
            <w:pPr>
              <w:ind w:left="227" w:hanging="227"/>
              <w:jc w:val="both"/>
              <w:rPr>
                <w:rFonts w:ascii="Arial" w:hAnsi="Arial" w:cs="Arial"/>
                <w:sz w:val="18"/>
                <w:szCs w:val="18"/>
                <w:lang w:val="fr-FR"/>
              </w:rPr>
            </w:pPr>
            <w:r w:rsidRPr="00234376">
              <w:rPr>
                <w:rFonts w:ascii="Arial" w:hAnsi="Arial" w:cs="Arial"/>
                <w:sz w:val="18"/>
                <w:szCs w:val="18"/>
                <w:lang w:val="fr-BE"/>
              </w:rPr>
              <w:t>f) Le remboursement est accordé si le pharmacien hospitalier dispensateur dispose, préalablement à la dispensation, d’une preuve de l’accord électronique.</w:t>
            </w:r>
          </w:p>
        </w:tc>
      </w:tr>
    </w:tbl>
    <w:p w14:paraId="43D8F1B5" w14:textId="77777777" w:rsidR="009F487C" w:rsidRDefault="009F487C">
      <w:pPr>
        <w:rPr>
          <w:lang w:val="fr-FR"/>
        </w:rPr>
      </w:pPr>
    </w:p>
    <w:p w14:paraId="150A5E34" w14:textId="7F65CC78" w:rsidR="00CD1255" w:rsidRPr="00CD1255" w:rsidRDefault="00CD1255">
      <w:pPr>
        <w:rPr>
          <w:lang w:val="en-US"/>
        </w:rPr>
      </w:pPr>
      <w:r w:rsidRPr="00CD1255">
        <w:rPr>
          <w:lang w:val="en-US"/>
        </w:rPr>
        <w:t>ww</w:t>
      </w:r>
      <w:r>
        <w:rPr>
          <w:lang w:val="en-US"/>
        </w:rPr>
        <w:t>w.riziv.be</w:t>
      </w:r>
    </w:p>
    <w:p w14:paraId="1C257C8A" w14:textId="7600BAC7" w:rsidR="00CD1255" w:rsidRPr="00CD1255" w:rsidRDefault="00A75A64">
      <w:pPr>
        <w:rPr>
          <w:lang w:val="en-US"/>
        </w:rPr>
      </w:pPr>
      <w:r w:rsidRPr="00CD1255">
        <w:rPr>
          <w:lang w:val="en-US"/>
        </w:rPr>
        <w:t>PP-PT-BE-0126 – November 2024</w:t>
      </w:r>
    </w:p>
    <w:p w14:paraId="2D49A4BC" w14:textId="1A430FD8" w:rsidR="00507D96" w:rsidRPr="00CD1255" w:rsidRDefault="00507D96" w:rsidP="00507D96">
      <w:pPr>
        <w:rPr>
          <w:lang w:val="en-US"/>
        </w:rPr>
      </w:pPr>
      <w:r>
        <w:rPr>
          <w:noProof/>
          <w:lang w:val="en-GB" w:eastAsia="en-GB"/>
        </w:rPr>
        <mc:AlternateContent>
          <mc:Choice Requires="wps">
            <w:drawing>
              <wp:anchor distT="0" distB="0" distL="114300" distR="114300" simplePos="0" relativeHeight="251659264" behindDoc="0" locked="0" layoutInCell="1" allowOverlap="1" wp14:anchorId="261FCEB4" wp14:editId="1A892452">
                <wp:simplePos x="0" y="0"/>
                <wp:positionH relativeFrom="column">
                  <wp:posOffset>476250</wp:posOffset>
                </wp:positionH>
                <wp:positionV relativeFrom="paragraph">
                  <wp:posOffset>8255</wp:posOffset>
                </wp:positionV>
                <wp:extent cx="76200" cy="88900"/>
                <wp:effectExtent l="19050" t="0" r="38100" b="44450"/>
                <wp:wrapNone/>
                <wp:docPr id="1088421988" name="Isosceles Triangle 1"/>
                <wp:cNvGraphicFramePr/>
                <a:graphic xmlns:a="http://schemas.openxmlformats.org/drawingml/2006/main">
                  <a:graphicData uri="http://schemas.microsoft.com/office/word/2010/wordprocessingShape">
                    <wps:wsp>
                      <wps:cNvSpPr/>
                      <wps:spPr>
                        <a:xfrm rot="10800000">
                          <a:off x="0" y="0"/>
                          <a:ext cx="76200" cy="88900"/>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D7EA9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7.5pt;margin-top:.65pt;width:6pt;height:7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" fillcolor="black [3213]" strokecolor="black [3213]" strokeweight="1pt"/>
            </w:pict>
          </mc:Fallback>
        </mc:AlternateContent>
      </w:r>
      <w:proofErr w:type="spellStart"/>
      <w:r w:rsidRPr="00CD1255">
        <w:rPr>
          <w:lang w:val="en-US"/>
        </w:rPr>
        <w:t>Jaypirca</w:t>
      </w:r>
      <w:proofErr w:type="spellEnd"/>
    </w:p>
    <w:p w14:paraId="2D89D468" w14:textId="77777777" w:rsidR="00507D96" w:rsidRPr="00CD1255" w:rsidRDefault="00507D96">
      <w:pPr>
        <w:rPr>
          <w:lang w:val="en-US"/>
        </w:rPr>
      </w:pPr>
    </w:p>
    <w:p w14:paraId="57DE11C1" w14:textId="1308A7A8" w:rsidR="00507D96" w:rsidRPr="00592DD2" w:rsidRDefault="00592DD2">
      <w:pPr>
        <w:rPr>
          <w:lang w:val="fr-BE"/>
        </w:rPr>
      </w:pPr>
      <w:r w:rsidRPr="00E26DC6">
        <w:rPr>
          <w:noProof/>
          <w:sz w:val="16"/>
          <w:szCs w:val="16"/>
          <w:lang w:val="en-GB" w:eastAsia="en-GB"/>
        </w:rPr>
        <w:drawing>
          <wp:inline distT="0" distB="0" distL="0" distR="0" wp14:anchorId="4E14A07D" wp14:editId="20DDB223">
            <wp:extent cx="148167" cy="127000"/>
            <wp:effectExtent l="0" t="0" r="4445" b="635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936" cy="128516"/>
                    </a:xfrm>
                    <a:prstGeom prst="rect">
                      <a:avLst/>
                    </a:prstGeom>
                  </pic:spPr>
                </pic:pic>
              </a:graphicData>
            </a:graphic>
          </wp:inline>
        </w:drawing>
      </w:r>
      <w:r w:rsidRPr="00592DD2">
        <w:rPr>
          <w:sz w:val="16"/>
          <w:szCs w:val="16"/>
          <w:lang w:val="fr-BE" w:eastAsia="fr-FR" w:bidi="fr-FR"/>
        </w:rPr>
        <w:t xml:space="preserve"> Ce médicament fait l’objet d’une surveillance supplémentaire qui permettra l’identification rapide de nouvelles informations relatives à la sécurité. Les professionnels de la santé déclarent tout effet indésirable suspecté.</w:t>
      </w:r>
    </w:p>
    <w:sectPr w:rsidR="00507D96" w:rsidRPr="00592D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D4217"/>
    <w:multiLevelType w:val="hybridMultilevel"/>
    <w:tmpl w:val="3934116E"/>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Calibri" w:eastAsia="Times New Roman" w:hAnsi="Calibri" w:cs="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F06312"/>
    <w:multiLevelType w:val="hybridMultilevel"/>
    <w:tmpl w:val="CF6A9BD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5B4333"/>
    <w:multiLevelType w:val="hybridMultilevel"/>
    <w:tmpl w:val="350C841C"/>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Calibri" w:eastAsia="Times New Roman" w:hAnsi="Calibri" w:cs="Calibri"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7861EA8"/>
    <w:multiLevelType w:val="hybridMultilevel"/>
    <w:tmpl w:val="1CEE4EFE"/>
    <w:lvl w:ilvl="0" w:tplc="08090001">
      <w:start w:val="1"/>
      <w:numFmt w:val="bullet"/>
      <w:lvlText w:val=""/>
      <w:lvlJc w:val="left"/>
      <w:pPr>
        <w:ind w:left="720" w:hanging="360"/>
      </w:pPr>
      <w:rPr>
        <w:rFonts w:ascii="Symbol" w:hAnsi="Symbol" w:hint="default"/>
      </w:rPr>
    </w:lvl>
    <w:lvl w:ilvl="1" w:tplc="4DC27A5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3D265D"/>
    <w:multiLevelType w:val="hybridMultilevel"/>
    <w:tmpl w:val="0EFA008E"/>
    <w:lvl w:ilvl="0" w:tplc="24B45618">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85"/>
    <w:rsid w:val="0003272D"/>
    <w:rsid w:val="000F0ADD"/>
    <w:rsid w:val="001C0BBA"/>
    <w:rsid w:val="00290636"/>
    <w:rsid w:val="00295B85"/>
    <w:rsid w:val="00507D96"/>
    <w:rsid w:val="00592DD2"/>
    <w:rsid w:val="00740D51"/>
    <w:rsid w:val="00852E2C"/>
    <w:rsid w:val="009F487C"/>
    <w:rsid w:val="00A75A64"/>
    <w:rsid w:val="00CD1255"/>
    <w:rsid w:val="00DB2D0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109F"/>
  <w15:chartTrackingRefBased/>
  <w15:docId w15:val="{2D1E8834-CD50-4ABC-A652-3B5D6766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95B85"/>
    <w:pPr>
      <w:spacing w:after="0" w:line="240" w:lineRule="auto"/>
    </w:pPr>
    <w:rPr>
      <w:rFonts w:ascii="Times New Roman" w:eastAsia="Times New Roman" w:hAnsi="Times New Roman" w:cs="Times New Roman"/>
      <w:kern w:val="0"/>
      <w:sz w:val="20"/>
      <w:szCs w:val="20"/>
      <w:lang w:val="nl-NL"/>
      <w14:ligatures w14:val="none"/>
    </w:rPr>
  </w:style>
  <w:style w:type="paragraph" w:styleId="Kop1">
    <w:name w:val="heading 1"/>
    <w:basedOn w:val="Standaard"/>
    <w:next w:val="Standaard"/>
    <w:link w:val="Kop1Char"/>
    <w:uiPriority w:val="9"/>
    <w:qFormat/>
    <w:rsid w:val="00295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95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95B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95B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95B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95B8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5B8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5B8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5B8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5B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95B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95B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5B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5B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5B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5B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5B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5B85"/>
    <w:rPr>
      <w:rFonts w:eastAsiaTheme="majorEastAsia" w:cstheme="majorBidi"/>
      <w:color w:val="272727" w:themeColor="text1" w:themeTint="D8"/>
    </w:rPr>
  </w:style>
  <w:style w:type="paragraph" w:styleId="Titel">
    <w:name w:val="Title"/>
    <w:basedOn w:val="Standaard"/>
    <w:next w:val="Standaard"/>
    <w:link w:val="TitelChar"/>
    <w:uiPriority w:val="10"/>
    <w:qFormat/>
    <w:rsid w:val="00295B8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5B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5B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5B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5B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5B85"/>
    <w:rPr>
      <w:i/>
      <w:iCs/>
      <w:color w:val="404040" w:themeColor="text1" w:themeTint="BF"/>
    </w:rPr>
  </w:style>
  <w:style w:type="paragraph" w:styleId="Lijstalinea">
    <w:name w:val="List Paragraph"/>
    <w:basedOn w:val="Standaard"/>
    <w:uiPriority w:val="34"/>
    <w:qFormat/>
    <w:rsid w:val="00295B85"/>
    <w:pPr>
      <w:ind w:left="720"/>
      <w:contextualSpacing/>
    </w:pPr>
  </w:style>
  <w:style w:type="character" w:styleId="Intensievebenadrukking">
    <w:name w:val="Intense Emphasis"/>
    <w:basedOn w:val="Standaardalinea-lettertype"/>
    <w:uiPriority w:val="21"/>
    <w:qFormat/>
    <w:rsid w:val="00295B85"/>
    <w:rPr>
      <w:i/>
      <w:iCs/>
      <w:color w:val="0F4761" w:themeColor="accent1" w:themeShade="BF"/>
    </w:rPr>
  </w:style>
  <w:style w:type="paragraph" w:styleId="Duidelijkcitaat">
    <w:name w:val="Intense Quote"/>
    <w:basedOn w:val="Standaard"/>
    <w:next w:val="Standaard"/>
    <w:link w:val="DuidelijkcitaatChar"/>
    <w:uiPriority w:val="30"/>
    <w:qFormat/>
    <w:rsid w:val="00295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95B85"/>
    <w:rPr>
      <w:i/>
      <w:iCs/>
      <w:color w:val="0F4761" w:themeColor="accent1" w:themeShade="BF"/>
    </w:rPr>
  </w:style>
  <w:style w:type="character" w:styleId="Intensieveverwijzing">
    <w:name w:val="Intense Reference"/>
    <w:basedOn w:val="Standaardalinea-lettertype"/>
    <w:uiPriority w:val="32"/>
    <w:qFormat/>
    <w:rsid w:val="00295B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72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4A90DE1B9FD043A854E63DD3FD858B" ma:contentTypeVersion="13" ma:contentTypeDescription="Create a new document." ma:contentTypeScope="" ma:versionID="8472822f78c3a09a45139cb39a1cd576">
  <xsd:schema xmlns:xsd="http://www.w3.org/2001/XMLSchema" xmlns:xs="http://www.w3.org/2001/XMLSchema" xmlns:p="http://schemas.microsoft.com/office/2006/metadata/properties" xmlns:ns2="5e7a4d30-5101-493f-ab33-2ee9bb6b4fff" xmlns:ns3="c56a36b4-67f0-4405-a4e3-75358dfcc6ae" targetNamespace="http://schemas.microsoft.com/office/2006/metadata/properties" ma:root="true" ma:fieldsID="faaa8b71068c6541d0b88201d6c6e387" ns2:_="" ns3:_="">
    <xsd:import namespace="5e7a4d30-5101-493f-ab33-2ee9bb6b4fff"/>
    <xsd:import namespace="c56a36b4-67f0-4405-a4e3-75358dfcc6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a4d30-5101-493f-ab33-2ee9bb6b4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adb9bf-65a7-4dcd-b9fe-2cabe70ed6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6a36b4-67f0-4405-a4e3-75358dfcc6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154092-f7d2-470c-a2a8-8205aa6293aa}" ma:internalName="TaxCatchAll" ma:showField="CatchAllData" ma:web="c56a36b4-67f0-4405-a4e3-75358dfcc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6a36b4-67f0-4405-a4e3-75358dfcc6ae" xsi:nil="true"/>
    <lcf76f155ced4ddcb4097134ff3c332f xmlns="5e7a4d30-5101-493f-ab33-2ee9bb6b4f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513718-76CF-4177-9D50-3DAE59CA9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a4d30-5101-493f-ab33-2ee9bb6b4fff"/>
    <ds:schemaRef ds:uri="c56a36b4-67f0-4405-a4e3-75358dfcc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D72B2-08AB-492C-A74D-7DB2140D9C01}">
  <ds:schemaRefs>
    <ds:schemaRef ds:uri="http://schemas.microsoft.com/sharepoint/v3/contenttype/forms"/>
  </ds:schemaRefs>
</ds:datastoreItem>
</file>

<file path=customXml/itemProps3.xml><?xml version="1.0" encoding="utf-8"?>
<ds:datastoreItem xmlns:ds="http://schemas.openxmlformats.org/officeDocument/2006/customXml" ds:itemID="{020EF622-0CC5-487F-8E3A-FB8817479206}">
  <ds:schemaRefs>
    <ds:schemaRef ds:uri="http://schemas.microsoft.com/office/2006/documentManagement/types"/>
    <ds:schemaRef ds:uri="http://purl.org/dc/dcmitype/"/>
    <ds:schemaRef ds:uri="5e7a4d30-5101-493f-ab33-2ee9bb6b4fff"/>
    <ds:schemaRef ds:uri="http://schemas.microsoft.com/office/2006/metadata/properties"/>
    <ds:schemaRef ds:uri="http://www.w3.org/XML/1998/namespace"/>
    <ds:schemaRef ds:uri="http://schemas.microsoft.com/office/infopath/2007/PartnerControls"/>
    <ds:schemaRef ds:uri="c56a36b4-67f0-4405-a4e3-75358dfcc6ae"/>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Eli Lilly and Company</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Vandenrijn</dc:creator>
  <cp:keywords/>
  <dc:description/>
  <cp:lastModifiedBy>Vanessa Vernimmen</cp:lastModifiedBy>
  <cp:revision>2</cp:revision>
  <dcterms:created xsi:type="dcterms:W3CDTF">2025-07-08T12:23:00Z</dcterms:created>
  <dcterms:modified xsi:type="dcterms:W3CDTF">2025-07-08T12:23:00Z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0x010100B44A90DE1B9FD043A854E63DD3FD858B</vt:lpwstr>
  </property>
  <property fmtid="{D5CDD505-2E9C-101B-9397-08002B2CF9AE}" pid="3" name="MediaServiceImageTags">
    <vt:lpwstr/>
  </property>
</Properties>
</file>